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具体考核要素及比重</w:t>
      </w:r>
    </w:p>
    <w:tbl>
      <w:tblPr>
        <w:tblStyle w:val="3"/>
        <w:tblW w:w="9300" w:type="dxa"/>
        <w:jc w:val="center"/>
        <w:tblInd w:w="-9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518"/>
        <w:gridCol w:w="1484"/>
        <w:gridCol w:w="1515"/>
        <w:gridCol w:w="1033"/>
        <w:gridCol w:w="1086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考核项目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教学教案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督导听课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课程资源建设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学生评教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教学汇报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教学效果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考核要素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规范性、完整性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听课评分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MOOC、微课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参考学生网评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参见《附表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教考分离、试卷质量、学生成绩分析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权  重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10%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15%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10%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15%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35%</w:t>
            </w:r>
          </w:p>
        </w:tc>
        <w:tc>
          <w:tcPr>
            <w:tcW w:w="163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Cs w:val="21"/>
              </w:rPr>
              <w:t>考核部门</w:t>
            </w:r>
          </w:p>
        </w:tc>
        <w:tc>
          <w:tcPr>
            <w:tcW w:w="8272" w:type="dxa"/>
            <w:gridSpan w:val="6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质量监测与评估中心、教务处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AE"/>
    <w:rsid w:val="00F82DAE"/>
    <w:rsid w:val="4E2758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2018-12-14T10:00:00Z</dcterms:created>
  <dc:creator>88style</dc:creator>
  <cp:lastModifiedBy>88style</cp:lastModifiedBy>
  <dcterms:modified xsi:type="dcterms:W3CDTF">2018-12-14T10:01:48Z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