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687" w:rsidRDefault="00D50687" w:rsidP="00D50687">
      <w:pPr>
        <w:pStyle w:val="D"/>
        <w:spacing w:line="580" w:lineRule="exact"/>
        <w:ind w:firstLineChars="0" w:firstLine="0"/>
        <w:rPr>
          <w:rFonts w:ascii="黑体" w:eastAsia="黑体" w:hAnsi="黑体"/>
          <w:sz w:val="32"/>
          <w:szCs w:val="32"/>
        </w:rPr>
      </w:pPr>
      <w:r>
        <w:rPr>
          <w:rFonts w:ascii="黑体" w:eastAsia="黑体" w:hAnsi="黑体" w:hint="eastAsia"/>
          <w:sz w:val="32"/>
          <w:szCs w:val="32"/>
        </w:rPr>
        <w:t>附件</w:t>
      </w:r>
    </w:p>
    <w:p w:rsidR="00D50687" w:rsidRDefault="00D50687" w:rsidP="00D50687">
      <w:pPr>
        <w:pStyle w:val="D"/>
        <w:spacing w:line="580" w:lineRule="exact"/>
        <w:ind w:firstLineChars="0" w:firstLine="0"/>
        <w:jc w:val="center"/>
        <w:rPr>
          <w:rFonts w:ascii="方正小标宋简体" w:eastAsia="方正小标宋简体" w:hAnsi="黑体" w:hint="eastAsia"/>
          <w:sz w:val="36"/>
          <w:szCs w:val="36"/>
        </w:rPr>
      </w:pPr>
    </w:p>
    <w:p w:rsidR="00D50687" w:rsidRDefault="00D50687" w:rsidP="00D50687">
      <w:pPr>
        <w:pStyle w:val="D"/>
        <w:spacing w:line="580" w:lineRule="exact"/>
        <w:ind w:firstLineChars="0" w:firstLine="0"/>
        <w:jc w:val="center"/>
        <w:rPr>
          <w:rFonts w:ascii="方正小标宋简体" w:eastAsia="方正小标宋简体" w:hAnsi="黑体" w:hint="eastAsia"/>
          <w:sz w:val="36"/>
          <w:szCs w:val="36"/>
        </w:rPr>
      </w:pPr>
      <w:r>
        <w:rPr>
          <w:rFonts w:ascii="方正小标宋简体" w:eastAsia="方正小标宋简体" w:hAnsi="黑体" w:hint="eastAsia"/>
          <w:sz w:val="36"/>
          <w:szCs w:val="36"/>
        </w:rPr>
        <w:t>江西省2018年普通高校本科专业综合评价工作实施方案</w:t>
      </w:r>
    </w:p>
    <w:p w:rsidR="00D50687" w:rsidRDefault="00D50687" w:rsidP="00D50687">
      <w:pPr>
        <w:pStyle w:val="D"/>
        <w:spacing w:line="580" w:lineRule="exact"/>
        <w:ind w:firstLineChars="0" w:firstLine="0"/>
        <w:jc w:val="center"/>
        <w:rPr>
          <w:rFonts w:ascii="方正小标宋简体" w:eastAsia="方正小标宋简体" w:hAnsi="黑体" w:hint="eastAsia"/>
          <w:sz w:val="36"/>
          <w:szCs w:val="36"/>
        </w:rPr>
      </w:pP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为贯彻落实《教育部关于全面提高高等教育质量的若干意见》、《教育部关于普通高等学校本科教学评估工作的意见》、《国务院教育督导办公室关于组织开展普通高等学校本科专业评估试点工作的通知》、《江西省普通高校本科专业综合评价实施方案（试行）》等文件精神，进一步健全本科教育教学质量保障体系，不断提高专业建设水平和人才培养质量，提升专业服务经济社会发展的能力，在总结前三年江西省普通高校本科专业综合评价工作的基础上，研究制定本方案。</w:t>
      </w:r>
    </w:p>
    <w:p w:rsidR="00D50687" w:rsidRDefault="00D50687" w:rsidP="00D50687">
      <w:pPr>
        <w:spacing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一、指导思想</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本科专业综合评价坚持以习近平新时代中国特色社会主义思想为指导，认真贯彻落实国家和省教育规划纲要和《教育部关于全面提高高等教育质量的若干意见》精神，引导高校优化专业结构，强化内涵，培育特色，不断提高建设水平和人才培养质量；加强和改善专业宏观管理，健全教学质量保障体系，努力造就满足经济社会发展需要，信念执著、品德优良、知识丰富、本领过硬的高素质人才。</w:t>
      </w:r>
    </w:p>
    <w:p w:rsidR="00D50687" w:rsidRDefault="00D50687" w:rsidP="00D50687">
      <w:pPr>
        <w:spacing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二、基本原则</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1.导向性。</w:t>
      </w:r>
      <w:r>
        <w:rPr>
          <w:rFonts w:ascii="仿宋_GB2312" w:hAnsi="宋体" w:hint="eastAsia"/>
          <w:color w:val="000000"/>
          <w:sz w:val="32"/>
          <w:szCs w:val="32"/>
        </w:rPr>
        <w:t>通过开展专业综合评价，进一步促进高校把本</w:t>
      </w:r>
      <w:r>
        <w:rPr>
          <w:rFonts w:ascii="仿宋_GB2312" w:hAnsi="宋体" w:hint="eastAsia"/>
          <w:color w:val="000000"/>
          <w:sz w:val="32"/>
          <w:szCs w:val="32"/>
        </w:rPr>
        <w:lastRenderedPageBreak/>
        <w:t>科教学作为最基础、最根本的工作，使领导精力、师资力量、资源配置、经费安排等都体现以教学为中心，不断加强专业建设和改革，努力提高专业建设水平和人才培养质量，加快提升专业服务经济社会发展的能力。</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2.科学性。</w:t>
      </w:r>
      <w:r>
        <w:rPr>
          <w:rFonts w:ascii="仿宋_GB2312" w:hAnsi="宋体" w:hint="eastAsia"/>
          <w:color w:val="000000"/>
          <w:sz w:val="32"/>
          <w:szCs w:val="32"/>
        </w:rPr>
        <w:t>专业综合评价指标体系的设计、评价方式的选择、评价工作的开展都要遵循教育教学规律和人才成长规律，充分考虑专业建设和人才培养自身所固有的特点，切实推动专业全面、协调、可持续发展。</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3.客观性。</w:t>
      </w:r>
      <w:r>
        <w:rPr>
          <w:rFonts w:ascii="仿宋_GB2312" w:hAnsi="宋体" w:hint="eastAsia"/>
          <w:color w:val="000000"/>
          <w:sz w:val="32"/>
          <w:szCs w:val="32"/>
        </w:rPr>
        <w:t>通过开展专业综合评价，在若干个反映专业办学状态的指标中，选取具有代表性且可重复验证的指标，设计科学合理的指标体系和评价函数，客观反映专业改革和建设的真实状态。</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4.简易性。</w:t>
      </w:r>
      <w:r>
        <w:rPr>
          <w:rFonts w:ascii="仿宋_GB2312" w:hAnsi="宋体" w:hint="eastAsia"/>
          <w:color w:val="000000"/>
          <w:sz w:val="32"/>
          <w:szCs w:val="32"/>
        </w:rPr>
        <w:t>开展专业综合评价，充分运用现代信息技术手段，主要通过网络采集、汇总、分析数据，专家不进校的方式进行，简化评价程序，提高工作效率。</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5.分类指导。</w:t>
      </w:r>
      <w:r>
        <w:rPr>
          <w:rFonts w:ascii="仿宋_GB2312" w:hAnsi="宋体" w:hint="eastAsia"/>
          <w:color w:val="000000"/>
          <w:sz w:val="32"/>
          <w:szCs w:val="32"/>
        </w:rPr>
        <w:t>专业综合评价是对不同学校开设的相同专业进行评价，指标体系的设计和评价结果的使用都要在保证专业办学基本条件的基础上，进行分类指导，引导专业办出特色。</w:t>
      </w:r>
    </w:p>
    <w:p w:rsidR="00D50687" w:rsidRDefault="00D50687" w:rsidP="00D50687">
      <w:pPr>
        <w:pStyle w:val="D"/>
        <w:spacing w:line="580" w:lineRule="exact"/>
        <w:ind w:firstLine="618"/>
        <w:rPr>
          <w:rFonts w:ascii="仿宋_GB2312" w:hAnsi="宋体" w:hint="eastAsia"/>
          <w:color w:val="000000"/>
          <w:spacing w:val="-6"/>
          <w:sz w:val="32"/>
          <w:szCs w:val="32"/>
        </w:rPr>
      </w:pPr>
      <w:r>
        <w:rPr>
          <w:rFonts w:ascii="仿宋_GB2312" w:hAnsi="宋体" w:hint="eastAsia"/>
          <w:b/>
          <w:color w:val="000000"/>
          <w:spacing w:val="-6"/>
          <w:sz w:val="32"/>
          <w:szCs w:val="32"/>
        </w:rPr>
        <w:t>6</w:t>
      </w:r>
      <w:r>
        <w:rPr>
          <w:rFonts w:ascii="仿宋_GB2312" w:hAnsi="宋体" w:hint="eastAsia"/>
          <w:color w:val="000000"/>
          <w:spacing w:val="-6"/>
          <w:sz w:val="32"/>
          <w:szCs w:val="32"/>
        </w:rPr>
        <w:t>.</w:t>
      </w:r>
      <w:r>
        <w:rPr>
          <w:rFonts w:ascii="仿宋_GB2312" w:hAnsi="宋体" w:hint="eastAsia"/>
          <w:b/>
          <w:color w:val="000000"/>
          <w:spacing w:val="-6"/>
          <w:sz w:val="32"/>
          <w:szCs w:val="32"/>
        </w:rPr>
        <w:t>定量与定性相结合</w:t>
      </w:r>
      <w:r>
        <w:rPr>
          <w:rFonts w:ascii="仿宋_GB2312" w:hAnsi="宋体" w:hint="eastAsia"/>
          <w:color w:val="000000"/>
          <w:spacing w:val="-6"/>
          <w:sz w:val="32"/>
          <w:szCs w:val="32"/>
        </w:rPr>
        <w:t>。专业综合评价采取定量与定性相结合的评价方式，以对数据的定量分析为主，以专家的定性判断为辅，定量分析注重对现时状态的客观评价，定性判断突出对发展潜力的主观评价。</w:t>
      </w:r>
    </w:p>
    <w:p w:rsidR="00D50687" w:rsidRDefault="00D50687" w:rsidP="00D50687">
      <w:pPr>
        <w:pStyle w:val="D"/>
        <w:spacing w:line="580" w:lineRule="exact"/>
        <w:ind w:firstLine="618"/>
        <w:rPr>
          <w:rFonts w:ascii="仿宋_GB2312" w:hAnsi="宋体" w:hint="eastAsia"/>
          <w:color w:val="000000"/>
          <w:spacing w:val="-6"/>
          <w:sz w:val="32"/>
          <w:szCs w:val="32"/>
        </w:rPr>
      </w:pPr>
      <w:r>
        <w:rPr>
          <w:rFonts w:ascii="仿宋_GB2312" w:hAnsi="宋体" w:hint="eastAsia"/>
          <w:b/>
          <w:color w:val="000000"/>
          <w:spacing w:val="-6"/>
          <w:sz w:val="32"/>
          <w:szCs w:val="32"/>
        </w:rPr>
        <w:lastRenderedPageBreak/>
        <w:t>7.共同参与、共同可接受。</w:t>
      </w:r>
      <w:r>
        <w:rPr>
          <w:rFonts w:ascii="仿宋_GB2312" w:hAnsi="宋体" w:hint="eastAsia"/>
          <w:color w:val="000000"/>
          <w:spacing w:val="-6"/>
          <w:sz w:val="32"/>
          <w:szCs w:val="32"/>
        </w:rPr>
        <w:t>专家组织具有广泛的代表性，专业综合评价实行共同商议、共同决策、相互监督，建立健全会议纪要制、核查制、公示制、仲裁制和诚信保障制等，以充分发扬民主，保障公平公正。</w:t>
      </w:r>
    </w:p>
    <w:p w:rsidR="00D50687" w:rsidRDefault="00D50687" w:rsidP="00D50687">
      <w:pPr>
        <w:spacing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三、评价范围及方式</w:t>
      </w:r>
    </w:p>
    <w:p w:rsidR="00D50687" w:rsidRDefault="00D50687" w:rsidP="00D50687">
      <w:pPr>
        <w:pStyle w:val="D"/>
        <w:spacing w:line="580" w:lineRule="exact"/>
        <w:ind w:firstLine="616"/>
        <w:rPr>
          <w:rFonts w:ascii="仿宋_GB2312" w:hAnsi="宋体" w:hint="eastAsia"/>
          <w:color w:val="000000"/>
          <w:spacing w:val="-6"/>
          <w:sz w:val="32"/>
          <w:szCs w:val="32"/>
        </w:rPr>
      </w:pPr>
      <w:r>
        <w:rPr>
          <w:rFonts w:ascii="仿宋_GB2312" w:hAnsi="宋体" w:hint="eastAsia"/>
          <w:color w:val="000000"/>
          <w:spacing w:val="-6"/>
          <w:sz w:val="32"/>
          <w:szCs w:val="32"/>
        </w:rPr>
        <w:t>本次评价范围是包括体育、艺术、医学三个大类中的45个专业，截止2018年7月各高校已有三届毕业生的专业须参评，按规定正式申请停办（停招）的专业可不参评。</w:t>
      </w:r>
    </w:p>
    <w:p w:rsidR="00D50687" w:rsidRDefault="00D50687" w:rsidP="00D50687">
      <w:pPr>
        <w:pStyle w:val="D"/>
        <w:spacing w:line="580" w:lineRule="exact"/>
        <w:ind w:firstLine="616"/>
        <w:rPr>
          <w:rFonts w:ascii="仿宋_GB2312" w:hAnsi="宋体" w:hint="eastAsia"/>
          <w:color w:val="000000"/>
          <w:spacing w:val="-6"/>
          <w:sz w:val="32"/>
          <w:szCs w:val="32"/>
        </w:rPr>
      </w:pPr>
      <w:r>
        <w:rPr>
          <w:rFonts w:ascii="仿宋_GB2312" w:hAnsi="宋体" w:hint="eastAsia"/>
          <w:color w:val="000000"/>
          <w:spacing w:val="-6"/>
          <w:sz w:val="32"/>
          <w:szCs w:val="32"/>
        </w:rPr>
        <w:t>因须于2018年9月底前公布评价结果，参评专业数据填报工作于5月开展，故数据采集范围为：学生计算到2018届毕业生，就业率等计算到2017届毕业生数据；年度数据截止于2017年12月31日，学年数据截止于2018年4月30日。</w:t>
      </w:r>
    </w:p>
    <w:p w:rsidR="00D50687" w:rsidRDefault="00D50687" w:rsidP="00D50687">
      <w:pPr>
        <w:pStyle w:val="D"/>
        <w:spacing w:line="580" w:lineRule="exact"/>
        <w:ind w:firstLine="616"/>
        <w:rPr>
          <w:rFonts w:ascii="仿宋_GB2312" w:hAnsi="宋体" w:hint="eastAsia"/>
          <w:color w:val="000000"/>
          <w:sz w:val="32"/>
          <w:szCs w:val="32"/>
        </w:rPr>
      </w:pPr>
      <w:r>
        <w:rPr>
          <w:rFonts w:ascii="仿宋_GB2312" w:hAnsi="宋体" w:hint="eastAsia"/>
          <w:color w:val="000000"/>
          <w:spacing w:val="-6"/>
          <w:sz w:val="32"/>
          <w:szCs w:val="32"/>
        </w:rPr>
        <w:t>原则上按专业类开展评价，以专业类为单位成立教指委，布点少的专业类与其它相近专业类合并成立一个教指委，教指委也可根据专业性质和专业布点等情况内设小组（每个小组专业布点数不少于5个），共组建成立14个专业（类）教指委，参评专业及教指委设立情况见附件2。</w:t>
      </w:r>
    </w:p>
    <w:p w:rsidR="00D50687" w:rsidRDefault="00D50687" w:rsidP="00D50687">
      <w:pPr>
        <w:spacing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四、评价程序与时间安排</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1. 制定方案（</w:t>
      </w:r>
      <w:r>
        <w:rPr>
          <w:rFonts w:ascii="仿宋_GB2312" w:hAnsi="宋体" w:hint="eastAsia"/>
          <w:color w:val="000000"/>
          <w:sz w:val="32"/>
          <w:szCs w:val="32"/>
        </w:rPr>
        <w:t>2月中旬完成）</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起草工作方案，修订完善通用指标并征求意见，完善系统平台开发、建设等事项。</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2.成立教指委（</w:t>
      </w:r>
      <w:r>
        <w:rPr>
          <w:rFonts w:ascii="仿宋_GB2312" w:hAnsi="宋体" w:hint="eastAsia"/>
          <w:color w:val="000000"/>
          <w:sz w:val="32"/>
          <w:szCs w:val="32"/>
        </w:rPr>
        <w:t>3月中旬完成）</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lastRenderedPageBreak/>
        <w:t xml:space="preserve">由参评专业所在高校推荐教指委成员，每校每专业限1人，省教育厅进行资格审查并予以确认。指定评价工作负责人和联系人（各1人）。确定正、副主任委员（原则上主任委员1人，副主任委员4人）名单。召开“2018年江西省普通高等学校本科专业（类）教学指导委员会成立大会暨工作研讨会”。 </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3.制定专业类综合评价方案和指标体系</w:t>
      </w:r>
      <w:r>
        <w:rPr>
          <w:rFonts w:ascii="仿宋_GB2312" w:hAnsi="宋体" w:hint="eastAsia"/>
          <w:color w:val="000000"/>
          <w:sz w:val="32"/>
          <w:szCs w:val="32"/>
        </w:rPr>
        <w:t>（4月中旬完成）</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 xml:space="preserve"> 各专业（类）教指委根据《江西省普通高等学校本科专业综合评价通用指标体系框架（</w:t>
      </w:r>
      <w:r>
        <w:rPr>
          <w:rFonts w:ascii="仿宋_GB2312" w:hAnsi="宋体" w:hint="eastAsia"/>
          <w:b/>
          <w:color w:val="000000"/>
          <w:sz w:val="32"/>
          <w:szCs w:val="32"/>
        </w:rPr>
        <w:t>2018</w:t>
      </w:r>
      <w:r>
        <w:rPr>
          <w:rFonts w:ascii="仿宋_GB2312" w:hAnsi="宋体" w:hint="eastAsia"/>
          <w:color w:val="000000"/>
          <w:sz w:val="32"/>
          <w:szCs w:val="32"/>
        </w:rPr>
        <w:t>修订版）》（见附件1），结合专业特点，形成专业类综合评价方案和指标体系初稿，经专指委审定，报省教育厅备案并正式发文。</w:t>
      </w:r>
    </w:p>
    <w:p w:rsidR="00D50687" w:rsidRDefault="00D50687" w:rsidP="00D50687">
      <w:pPr>
        <w:pStyle w:val="D"/>
        <w:spacing w:line="580" w:lineRule="exact"/>
        <w:ind w:firstLine="643"/>
        <w:rPr>
          <w:rFonts w:ascii="仿宋_GB2312" w:hAnsi="宋体" w:hint="eastAsia"/>
          <w:b/>
          <w:color w:val="000000"/>
          <w:sz w:val="32"/>
          <w:szCs w:val="32"/>
        </w:rPr>
      </w:pPr>
      <w:r>
        <w:rPr>
          <w:rFonts w:ascii="仿宋_GB2312" w:hAnsi="宋体" w:hint="eastAsia"/>
          <w:b/>
          <w:color w:val="000000"/>
          <w:sz w:val="32"/>
          <w:szCs w:val="32"/>
        </w:rPr>
        <w:t>4.完善评价系统</w:t>
      </w:r>
      <w:r>
        <w:rPr>
          <w:rFonts w:ascii="仿宋_GB2312" w:hAnsi="宋体" w:hint="eastAsia"/>
          <w:color w:val="000000"/>
          <w:sz w:val="32"/>
          <w:szCs w:val="32"/>
        </w:rPr>
        <w:t>（4月底完成）</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专指委秘书处依据各专业类评价指标体系，修改完善评价系统。</w:t>
      </w:r>
    </w:p>
    <w:p w:rsidR="00D50687" w:rsidRDefault="00D50687" w:rsidP="00D50687">
      <w:pPr>
        <w:pStyle w:val="D"/>
        <w:spacing w:line="580" w:lineRule="exact"/>
        <w:ind w:firstLine="643"/>
        <w:rPr>
          <w:rFonts w:ascii="仿宋_GB2312" w:hAnsi="宋体" w:hint="eastAsia"/>
          <w:b/>
          <w:color w:val="000000"/>
          <w:sz w:val="32"/>
          <w:szCs w:val="32"/>
        </w:rPr>
      </w:pPr>
      <w:r>
        <w:rPr>
          <w:rFonts w:ascii="仿宋_GB2312" w:hAnsi="宋体" w:hint="eastAsia"/>
          <w:b/>
          <w:color w:val="000000"/>
          <w:sz w:val="32"/>
          <w:szCs w:val="32"/>
        </w:rPr>
        <w:t>5. 填报上传数据</w:t>
      </w:r>
      <w:r>
        <w:rPr>
          <w:rFonts w:ascii="仿宋_GB2312" w:hAnsi="宋体" w:hint="eastAsia"/>
          <w:color w:val="000000"/>
          <w:sz w:val="32"/>
          <w:szCs w:val="32"/>
        </w:rPr>
        <w:t>（5月中下旬完成）</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专指委组织参评专业对数据采集填报工作进行培训。参评专业教师按照指标体系，登录江西省普通高等学校本科专业信息平台填报相关数据。</w:t>
      </w:r>
    </w:p>
    <w:p w:rsidR="00D50687" w:rsidRDefault="00D50687" w:rsidP="00D50687">
      <w:pPr>
        <w:pStyle w:val="D"/>
        <w:spacing w:line="580" w:lineRule="exact"/>
        <w:ind w:firstLine="643"/>
        <w:rPr>
          <w:rFonts w:ascii="仿宋_GB2312" w:hAnsi="宋体" w:hint="eastAsia"/>
          <w:b/>
          <w:color w:val="000000"/>
          <w:sz w:val="32"/>
          <w:szCs w:val="32"/>
        </w:rPr>
      </w:pPr>
      <w:r>
        <w:rPr>
          <w:rFonts w:ascii="仿宋_GB2312" w:hAnsi="宋体" w:hint="eastAsia"/>
          <w:b/>
          <w:color w:val="000000"/>
          <w:sz w:val="32"/>
          <w:szCs w:val="32"/>
        </w:rPr>
        <w:t>6. 核查、定点修改与公示数据</w:t>
      </w:r>
      <w:r>
        <w:rPr>
          <w:rFonts w:ascii="仿宋_GB2312" w:hAnsi="宋体" w:hint="eastAsia"/>
          <w:color w:val="000000"/>
          <w:sz w:val="32"/>
          <w:szCs w:val="32"/>
        </w:rPr>
        <w:t>（7月底完成）</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教指委组织专家对本专业填报数据的真实性进行核查，对本专业的相关争议负责仲裁。各高校组织专家对校内专业填报数据的真实性进行审核并认定。各专业负责人按照教指委和学校核查意见对数据进行定点修改。</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lastRenderedPageBreak/>
        <w:t>为广泛接受社会监督，各参评专业定点修改后的数据将在江西省普通高校本科专业信息填报系统生成专门页面向社会公示，公示期为一周。公示期结束后，教指委组成仲裁小组，对公示期的质疑材料进行最终裁定，并将裁定结果报省教育厅高教处备案，教指委指定专人会同专指委秘书处按照裁定结果从系统后台进行修正。各高校提交高校主要负责人签字并盖学校公章的《本科专业信息平台数据材料核查确认书》交省教育厅备案。</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7.定性指标评审、综合评价</w:t>
      </w:r>
      <w:r>
        <w:rPr>
          <w:rFonts w:ascii="仿宋_GB2312" w:hAnsi="宋体" w:hint="eastAsia"/>
          <w:color w:val="000000"/>
          <w:sz w:val="32"/>
          <w:szCs w:val="32"/>
        </w:rPr>
        <w:t>（9月中旬完成）</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教指委制定本专业（类）定性评审方案，召开定性指标评审会。具体工作由各教指委负责实施。根据评价系统得出各参评专业（类）最后得分，各专业（类）按照分数高低排序（独立学院单独排序）形成2018年江西省高等学校本科专业综合评价结果</w:t>
      </w:r>
    </w:p>
    <w:p w:rsidR="00D50687" w:rsidRDefault="00D50687" w:rsidP="00D50687">
      <w:pPr>
        <w:pStyle w:val="D"/>
        <w:spacing w:line="580" w:lineRule="exact"/>
        <w:ind w:firstLine="643"/>
        <w:rPr>
          <w:rFonts w:ascii="仿宋_GB2312" w:hAnsi="宋体" w:hint="eastAsia"/>
          <w:b/>
          <w:color w:val="000000"/>
          <w:sz w:val="32"/>
          <w:szCs w:val="32"/>
        </w:rPr>
      </w:pPr>
      <w:r>
        <w:rPr>
          <w:rFonts w:ascii="仿宋_GB2312" w:hAnsi="宋体" w:hint="eastAsia"/>
          <w:b/>
          <w:color w:val="000000"/>
          <w:sz w:val="32"/>
          <w:szCs w:val="32"/>
        </w:rPr>
        <w:t>8.公示、公布评价结果</w:t>
      </w:r>
      <w:r>
        <w:rPr>
          <w:rFonts w:ascii="仿宋_GB2312" w:hAnsi="宋体" w:hint="eastAsia"/>
          <w:color w:val="000000"/>
          <w:sz w:val="32"/>
          <w:szCs w:val="32"/>
        </w:rPr>
        <w:t>（9月底完成）</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评价结果在江西教育网上面向社会公示五个工作日，无异议后形成专业综合评价结果，报国务院教育督导办公室，并面向社会公布。</w:t>
      </w:r>
    </w:p>
    <w:p w:rsidR="00D50687" w:rsidRDefault="00D50687" w:rsidP="00D50687">
      <w:pPr>
        <w:pStyle w:val="D"/>
        <w:spacing w:line="580" w:lineRule="exact"/>
        <w:ind w:firstLine="643"/>
        <w:rPr>
          <w:rFonts w:ascii="仿宋_GB2312" w:hAnsi="宋体" w:hint="eastAsia"/>
          <w:color w:val="000000"/>
          <w:sz w:val="32"/>
          <w:szCs w:val="32"/>
        </w:rPr>
      </w:pPr>
      <w:r>
        <w:rPr>
          <w:rFonts w:ascii="仿宋_GB2312" w:hAnsi="宋体" w:hint="eastAsia"/>
          <w:b/>
          <w:color w:val="000000"/>
          <w:sz w:val="32"/>
          <w:szCs w:val="32"/>
        </w:rPr>
        <w:t>9.总结专业综合评价工作</w:t>
      </w:r>
      <w:r>
        <w:rPr>
          <w:rFonts w:ascii="仿宋_GB2312" w:hAnsi="宋体" w:hint="eastAsia"/>
          <w:color w:val="000000"/>
          <w:sz w:val="32"/>
          <w:szCs w:val="32"/>
        </w:rPr>
        <w:t>（11-12月完成）</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专指委、各教指委及各高校认真总结2018年江西省高等学校本科专业综合评价工作并形成总结报告，报省教育厅高教处。</w:t>
      </w:r>
    </w:p>
    <w:p w:rsidR="00D50687" w:rsidRDefault="00D50687" w:rsidP="00D50687">
      <w:pPr>
        <w:spacing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五、工作和纪律要求</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lastRenderedPageBreak/>
        <w:t>1.各参评高校要高度重视，加强领导，协调组织好各相关部门，按照实施方案要求，认真、如实、按时填报并上传有关数据，并做好各阶段相应工作。</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2.各高校是本校专业填报数据和材料真实性的责任主体，对本校各专业填报数据和材料的真实性负主体责任。</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3.各专业负责人是本专业填报数据和材料真实性的具体责任人，对本专业材料的真实性负具体责任。</w:t>
      </w:r>
    </w:p>
    <w:p w:rsidR="00D50687" w:rsidRDefault="00D50687" w:rsidP="00D50687">
      <w:pPr>
        <w:pStyle w:val="D"/>
        <w:spacing w:line="580" w:lineRule="exact"/>
        <w:ind w:firstLine="640"/>
        <w:rPr>
          <w:rFonts w:ascii="仿宋_GB2312" w:hAnsi="宋体" w:hint="eastAsia"/>
          <w:color w:val="000000"/>
          <w:sz w:val="32"/>
          <w:szCs w:val="32"/>
        </w:rPr>
      </w:pPr>
      <w:r>
        <w:rPr>
          <w:rFonts w:ascii="仿宋_GB2312" w:hAnsi="宋体" w:hint="eastAsia"/>
          <w:color w:val="000000"/>
          <w:sz w:val="32"/>
          <w:szCs w:val="32"/>
        </w:rPr>
        <w:t>4.各教指委对本专业材料的真实性进行审核，并负责对本专业涉及评价工作有争议的事项进行仲裁。</w:t>
      </w:r>
    </w:p>
    <w:p w:rsidR="00D50687" w:rsidRDefault="00D50687" w:rsidP="00D50687">
      <w:pPr>
        <w:pStyle w:val="D"/>
        <w:spacing w:line="580" w:lineRule="exact"/>
        <w:ind w:firstLine="616"/>
        <w:rPr>
          <w:rFonts w:ascii="仿宋_GB2312" w:hAnsi="宋体" w:hint="eastAsia"/>
          <w:color w:val="000000"/>
          <w:spacing w:val="-6"/>
          <w:sz w:val="32"/>
          <w:szCs w:val="32"/>
        </w:rPr>
      </w:pPr>
      <w:r>
        <w:rPr>
          <w:rFonts w:ascii="仿宋_GB2312" w:hAnsi="宋体" w:hint="eastAsia"/>
          <w:color w:val="000000"/>
          <w:spacing w:val="-6"/>
          <w:sz w:val="32"/>
          <w:szCs w:val="32"/>
        </w:rPr>
        <w:t>5.专指委负责对整个评价过程进行指导、监督和调控，会同教指委对评价结果的合理性负责解释，对教指委提交的争议事项进行仲裁。</w:t>
      </w:r>
    </w:p>
    <w:p w:rsidR="00D50687" w:rsidRDefault="00D50687" w:rsidP="00D50687">
      <w:pPr>
        <w:pStyle w:val="D"/>
        <w:spacing w:line="580" w:lineRule="exact"/>
        <w:ind w:firstLine="616"/>
        <w:rPr>
          <w:rFonts w:ascii="仿宋_GB2312" w:hAnsi="宋体" w:hint="eastAsia"/>
          <w:color w:val="000000"/>
          <w:spacing w:val="-6"/>
          <w:sz w:val="32"/>
          <w:szCs w:val="32"/>
        </w:rPr>
      </w:pPr>
      <w:r>
        <w:rPr>
          <w:rFonts w:ascii="仿宋_GB2312" w:hAnsi="宋体" w:hint="eastAsia"/>
          <w:color w:val="000000"/>
          <w:spacing w:val="-6"/>
          <w:sz w:val="32"/>
          <w:szCs w:val="32"/>
        </w:rPr>
        <w:t>6.材料审核和公示过程中，如发现故意、恶意对数据和材料进行造假的，我厅将约谈高校主要负责人，责令整改。对于事后发现数据造假的，取消该专业参评资格和排名，并对该高校予以通报。</w:t>
      </w:r>
    </w:p>
    <w:p w:rsidR="00D50687" w:rsidRDefault="00D50687" w:rsidP="00D50687">
      <w:pPr>
        <w:pStyle w:val="D"/>
        <w:spacing w:line="580" w:lineRule="exact"/>
        <w:ind w:firstLineChars="0" w:firstLine="0"/>
        <w:rPr>
          <w:rFonts w:ascii="仿宋_GB2312" w:hAnsi="宋体" w:hint="eastAsia"/>
          <w:color w:val="000000"/>
          <w:sz w:val="32"/>
          <w:szCs w:val="32"/>
        </w:rPr>
      </w:pPr>
    </w:p>
    <w:p w:rsidR="00D50687" w:rsidRDefault="00D50687" w:rsidP="00D50687">
      <w:pPr>
        <w:pStyle w:val="D"/>
        <w:spacing w:line="580" w:lineRule="exact"/>
        <w:ind w:firstLineChars="250" w:firstLine="800"/>
        <w:rPr>
          <w:rFonts w:ascii="仿宋_GB2312" w:hAnsi="宋体" w:hint="eastAsia"/>
          <w:color w:val="000000"/>
          <w:sz w:val="32"/>
          <w:szCs w:val="32"/>
        </w:rPr>
      </w:pPr>
      <w:r>
        <w:rPr>
          <w:rFonts w:ascii="仿宋_GB2312" w:hAnsi="宋体" w:hint="eastAsia"/>
          <w:color w:val="000000"/>
          <w:sz w:val="32"/>
          <w:szCs w:val="32"/>
        </w:rPr>
        <w:t>附件:1. 江西省普通高等学校本科专业综合评价通用指</w:t>
      </w:r>
    </w:p>
    <w:p w:rsidR="00D50687" w:rsidRDefault="00D50687" w:rsidP="00D50687">
      <w:pPr>
        <w:pStyle w:val="D"/>
        <w:spacing w:line="580" w:lineRule="exact"/>
        <w:ind w:firstLineChars="250" w:firstLine="800"/>
        <w:rPr>
          <w:rFonts w:ascii="仿宋_GB2312" w:hAnsi="宋体" w:hint="eastAsia"/>
          <w:color w:val="000000"/>
          <w:sz w:val="32"/>
          <w:szCs w:val="32"/>
        </w:rPr>
      </w:pPr>
      <w:r>
        <w:rPr>
          <w:rFonts w:ascii="仿宋_GB2312" w:hAnsi="宋体" w:hint="eastAsia"/>
          <w:color w:val="000000"/>
          <w:sz w:val="32"/>
          <w:szCs w:val="32"/>
        </w:rPr>
        <w:t xml:space="preserve">        标体系（2018修订版）</w:t>
      </w:r>
    </w:p>
    <w:p w:rsidR="00D50687" w:rsidRDefault="00D50687" w:rsidP="00D50687">
      <w:pPr>
        <w:pStyle w:val="D"/>
        <w:spacing w:line="580" w:lineRule="exact"/>
        <w:ind w:leftChars="570" w:left="1517" w:hangingChars="100" w:hanging="320"/>
        <w:rPr>
          <w:rFonts w:ascii="仿宋_GB2312" w:hAnsi="宋体" w:hint="eastAsia"/>
          <w:color w:val="000000"/>
          <w:sz w:val="32"/>
          <w:szCs w:val="32"/>
        </w:rPr>
      </w:pPr>
      <w:r>
        <w:rPr>
          <w:rFonts w:ascii="仿宋_GB2312" w:hAnsi="宋体" w:hint="eastAsia"/>
          <w:color w:val="000000"/>
          <w:sz w:val="32"/>
          <w:szCs w:val="32"/>
        </w:rPr>
        <w:t xml:space="preserve">   2. 2018年江西省普通高等学校本科专业综合评价</w:t>
      </w:r>
    </w:p>
    <w:p w:rsidR="00D50687" w:rsidRDefault="00D50687" w:rsidP="00D50687">
      <w:pPr>
        <w:pStyle w:val="D"/>
        <w:spacing w:line="580" w:lineRule="exact"/>
        <w:ind w:leftChars="570" w:left="1517" w:hangingChars="100" w:hanging="320"/>
        <w:rPr>
          <w:rFonts w:ascii="仿宋_GB2312" w:hAnsi="宋体" w:hint="eastAsia"/>
          <w:color w:val="000000"/>
          <w:sz w:val="32"/>
          <w:szCs w:val="32"/>
        </w:rPr>
      </w:pPr>
      <w:r>
        <w:rPr>
          <w:rFonts w:ascii="仿宋_GB2312" w:hAnsi="宋体" w:hint="eastAsia"/>
          <w:color w:val="000000"/>
          <w:sz w:val="32"/>
          <w:szCs w:val="32"/>
        </w:rPr>
        <w:t xml:space="preserve">      参评专业及教指委设立情况表</w:t>
      </w:r>
    </w:p>
    <w:p w:rsidR="00D50687" w:rsidRDefault="00D50687" w:rsidP="00D50687">
      <w:pPr>
        <w:pStyle w:val="D"/>
        <w:spacing w:line="580" w:lineRule="exact"/>
        <w:ind w:leftChars="200" w:left="420" w:firstLine="640"/>
        <w:rPr>
          <w:rFonts w:ascii="仿宋_GB2312" w:hAnsi="宋体" w:hint="eastAsia"/>
          <w:color w:val="000000"/>
          <w:sz w:val="32"/>
          <w:szCs w:val="32"/>
        </w:rPr>
      </w:pPr>
      <w:r>
        <w:rPr>
          <w:rFonts w:ascii="仿宋_GB2312" w:hAnsi="宋体" w:hint="eastAsia"/>
          <w:color w:val="000000"/>
          <w:sz w:val="32"/>
          <w:szCs w:val="32"/>
        </w:rPr>
        <w:t xml:space="preserve">                         </w:t>
      </w:r>
    </w:p>
    <w:p w:rsidR="00D50687" w:rsidRDefault="00D50687" w:rsidP="00D50687">
      <w:pPr>
        <w:rPr>
          <w:rFonts w:ascii="黑体" w:eastAsia="黑体" w:hAnsi="黑体" w:hint="eastAsia"/>
          <w:sz w:val="32"/>
          <w:szCs w:val="32"/>
        </w:rPr>
      </w:pPr>
      <w:bookmarkStart w:id="0" w:name="_Toc424225765"/>
      <w:bookmarkStart w:id="1" w:name="_Toc424225474"/>
      <w:r>
        <w:rPr>
          <w:rFonts w:ascii="黑体" w:eastAsia="黑体" w:hAnsi="黑体" w:hint="eastAsia"/>
          <w:sz w:val="32"/>
          <w:szCs w:val="32"/>
        </w:rPr>
        <w:lastRenderedPageBreak/>
        <w:t>附件1</w:t>
      </w:r>
    </w:p>
    <w:p w:rsidR="00D50687" w:rsidRDefault="00D50687" w:rsidP="00D50687">
      <w:pPr>
        <w:spacing w:line="600" w:lineRule="exact"/>
        <w:jc w:val="center"/>
        <w:rPr>
          <w:rFonts w:ascii="方正小标宋简体" w:eastAsia="方正小标宋简体" w:hint="eastAsia"/>
          <w:sz w:val="36"/>
          <w:szCs w:val="36"/>
        </w:rPr>
      </w:pPr>
      <w:r>
        <w:rPr>
          <w:rFonts w:ascii="方正小标宋简体" w:eastAsia="方正小标宋简体" w:hint="eastAsia"/>
          <w:sz w:val="36"/>
          <w:szCs w:val="36"/>
        </w:rPr>
        <w:t>江西省普通高等学校本科专业综合评价通用指标体系</w:t>
      </w:r>
    </w:p>
    <w:p w:rsidR="00D50687" w:rsidRDefault="00D50687" w:rsidP="00D50687">
      <w:pPr>
        <w:spacing w:afterLines="50" w:line="600" w:lineRule="exact"/>
        <w:jc w:val="center"/>
        <w:rPr>
          <w:rFonts w:ascii="楷体_GB2312" w:eastAsia="楷体_GB2312" w:hint="eastAsia"/>
          <w:sz w:val="32"/>
          <w:szCs w:val="32"/>
        </w:rPr>
      </w:pPr>
      <w:r>
        <w:rPr>
          <w:rFonts w:ascii="楷体_GB2312" w:eastAsia="楷体_GB2312" w:hint="eastAsia"/>
          <w:sz w:val="32"/>
          <w:szCs w:val="32"/>
        </w:rPr>
        <w:t>（2018修订版）</w:t>
      </w:r>
      <w:bookmarkEnd w:id="0"/>
      <w:bookmarkEnd w:id="1"/>
    </w:p>
    <w:tbl>
      <w:tblPr>
        <w:tblW w:w="5000"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1E0"/>
      </w:tblPr>
      <w:tblGrid>
        <w:gridCol w:w="1063"/>
        <w:gridCol w:w="1356"/>
        <w:gridCol w:w="2673"/>
        <w:gridCol w:w="3854"/>
      </w:tblGrid>
      <w:tr w:rsidR="00D50687" w:rsidTr="00D50687">
        <w:trPr>
          <w:cantSplit/>
          <w:trHeight w:val="340"/>
          <w:tblHeader/>
          <w:jc w:val="center"/>
        </w:trPr>
        <w:tc>
          <w:tcPr>
            <w:tcW w:w="594" w:type="pct"/>
            <w:tcBorders>
              <w:top w:val="thinThickSmallGap" w:sz="18" w:space="0" w:color="auto"/>
              <w:left w:val="single" w:sz="4" w:space="0" w:color="auto"/>
              <w:bottom w:val="single" w:sz="4" w:space="0" w:color="auto"/>
              <w:right w:val="single" w:sz="4" w:space="0" w:color="auto"/>
            </w:tcBorders>
            <w:vAlign w:val="center"/>
            <w:hideMark/>
          </w:tcPr>
          <w:p w:rsidR="00D50687" w:rsidRDefault="00D50687">
            <w:pPr>
              <w:snapToGrid w:val="0"/>
              <w:jc w:val="center"/>
              <w:rPr>
                <w:rFonts w:ascii="仿宋_GB2312" w:eastAsia="仿宋_GB2312"/>
                <w:b/>
                <w:color w:val="000000"/>
                <w:szCs w:val="21"/>
              </w:rPr>
            </w:pPr>
            <w:r>
              <w:rPr>
                <w:rFonts w:ascii="仿宋_GB2312" w:eastAsia="仿宋_GB2312" w:hint="eastAsia"/>
                <w:b/>
                <w:color w:val="000000"/>
                <w:szCs w:val="21"/>
              </w:rPr>
              <w:t>一级指标</w:t>
            </w:r>
          </w:p>
        </w:tc>
        <w:tc>
          <w:tcPr>
            <w:tcW w:w="758" w:type="pct"/>
            <w:tcBorders>
              <w:top w:val="thinThickSmallGap" w:sz="18" w:space="0" w:color="auto"/>
              <w:left w:val="single" w:sz="4" w:space="0" w:color="auto"/>
              <w:bottom w:val="single" w:sz="4" w:space="0" w:color="auto"/>
              <w:right w:val="single" w:sz="4" w:space="0" w:color="auto"/>
            </w:tcBorders>
            <w:vAlign w:val="center"/>
            <w:hideMark/>
          </w:tcPr>
          <w:p w:rsidR="00D50687" w:rsidRDefault="00D50687">
            <w:pPr>
              <w:snapToGrid w:val="0"/>
              <w:jc w:val="center"/>
              <w:rPr>
                <w:rFonts w:ascii="仿宋_GB2312" w:eastAsia="仿宋_GB2312"/>
                <w:b/>
                <w:color w:val="000000"/>
                <w:szCs w:val="21"/>
              </w:rPr>
            </w:pPr>
            <w:r>
              <w:rPr>
                <w:rFonts w:ascii="仿宋_GB2312" w:eastAsia="仿宋_GB2312" w:hint="eastAsia"/>
                <w:b/>
                <w:color w:val="000000"/>
                <w:szCs w:val="21"/>
              </w:rPr>
              <w:t>二级指标</w:t>
            </w:r>
          </w:p>
        </w:tc>
        <w:tc>
          <w:tcPr>
            <w:tcW w:w="1494" w:type="pct"/>
            <w:tcBorders>
              <w:top w:val="thinThickSmallGap" w:sz="18" w:space="0" w:color="auto"/>
              <w:left w:val="single" w:sz="4" w:space="0" w:color="auto"/>
              <w:bottom w:val="single" w:sz="4" w:space="0" w:color="auto"/>
              <w:right w:val="single" w:sz="4" w:space="0" w:color="auto"/>
            </w:tcBorders>
            <w:vAlign w:val="center"/>
            <w:hideMark/>
          </w:tcPr>
          <w:p w:rsidR="00D50687" w:rsidRDefault="00D50687">
            <w:pPr>
              <w:snapToGrid w:val="0"/>
              <w:jc w:val="center"/>
              <w:rPr>
                <w:rFonts w:ascii="仿宋_GB2312" w:eastAsia="仿宋_GB2312"/>
                <w:b/>
                <w:color w:val="000000"/>
                <w:szCs w:val="21"/>
              </w:rPr>
            </w:pPr>
            <w:r>
              <w:rPr>
                <w:rFonts w:ascii="仿宋_GB2312" w:eastAsia="仿宋_GB2312" w:hint="eastAsia"/>
                <w:b/>
                <w:color w:val="000000"/>
                <w:szCs w:val="21"/>
              </w:rPr>
              <w:t>主要观测点</w:t>
            </w:r>
          </w:p>
        </w:tc>
        <w:tc>
          <w:tcPr>
            <w:tcW w:w="2154" w:type="pct"/>
            <w:tcBorders>
              <w:top w:val="thinThickSmallGap" w:sz="18" w:space="0" w:color="auto"/>
              <w:left w:val="single" w:sz="4" w:space="0" w:color="auto"/>
              <w:bottom w:val="single" w:sz="4" w:space="0" w:color="auto"/>
              <w:right w:val="single" w:sz="4" w:space="0" w:color="auto"/>
            </w:tcBorders>
            <w:vAlign w:val="center"/>
            <w:hideMark/>
          </w:tcPr>
          <w:p w:rsidR="00D50687" w:rsidRDefault="00D50687">
            <w:pPr>
              <w:snapToGrid w:val="0"/>
              <w:jc w:val="center"/>
              <w:rPr>
                <w:rFonts w:ascii="仿宋_GB2312" w:eastAsia="仿宋_GB2312"/>
                <w:b/>
                <w:color w:val="000000"/>
                <w:szCs w:val="21"/>
              </w:rPr>
            </w:pPr>
            <w:r>
              <w:rPr>
                <w:rFonts w:ascii="仿宋_GB2312" w:eastAsia="仿宋_GB2312" w:hint="eastAsia"/>
                <w:b/>
                <w:color w:val="000000"/>
                <w:szCs w:val="21"/>
              </w:rPr>
              <w:t>指标说明</w:t>
            </w:r>
          </w:p>
        </w:tc>
      </w:tr>
      <w:tr w:rsidR="00D50687" w:rsidTr="00D50687">
        <w:trPr>
          <w:cantSplit/>
          <w:trHeight w:val="907"/>
          <w:jc w:val="center"/>
        </w:trPr>
        <w:tc>
          <w:tcPr>
            <w:tcW w:w="5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1.生源情况（权重：0.10）</w:t>
            </w:r>
          </w:p>
        </w:tc>
        <w:tc>
          <w:tcPr>
            <w:tcW w:w="758"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1.1招生录取情况（100%）</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1.1.1当年国家统一高考录取的本专业学生入学平均（标准）分数</w:t>
            </w:r>
          </w:p>
        </w:tc>
        <w:tc>
          <w:tcPr>
            <w:tcW w:w="215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 xml:space="preserve">    本专业每名学生高考总分（不包括加分）除以该生所在省高考满分值（文、理分科）后的标准分的平均值。（不含办学地点不在母体学校的联合培养学生）  </w:t>
            </w:r>
          </w:p>
        </w:tc>
      </w:tr>
      <w:tr w:rsidR="00D50687" w:rsidTr="00D50687">
        <w:trPr>
          <w:cantSplit/>
          <w:trHeight w:val="907"/>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2.培养模式（权重：0.15）</w:t>
            </w:r>
          </w:p>
        </w:tc>
        <w:tc>
          <w:tcPr>
            <w:tcW w:w="758"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2.1培养方案（60%）</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专业标准，培养方案及各要素匹配程度</w:t>
            </w:r>
          </w:p>
        </w:tc>
        <w:tc>
          <w:tcPr>
            <w:tcW w:w="215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专业标准、培养目标、培养方式、培养要求、专业定位、课程设置等要素之间的匹配程度。具体评价标准参照教育部高等学校有关科类教学指导委员会制定的专业类教学质量国家标准。</w:t>
            </w:r>
          </w:p>
        </w:tc>
      </w:tr>
      <w:tr w:rsidR="00D50687" w:rsidTr="00D50687">
        <w:trPr>
          <w:cantSplit/>
          <w:trHeight w:val="9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758"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2.2培养模式改革创新（40%）</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改革创新措施与效果</w:t>
            </w:r>
          </w:p>
        </w:tc>
        <w:tc>
          <w:tcPr>
            <w:tcW w:w="215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专业人才培养模式改革创新的具体措施和实施效果。</w:t>
            </w:r>
          </w:p>
        </w:tc>
      </w:tr>
      <w:tr w:rsidR="00D50687" w:rsidTr="00D50687">
        <w:trPr>
          <w:cantSplit/>
          <w:trHeight w:val="907"/>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3.教学资源（权重：0.30）</w:t>
            </w: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3.1专业师资基本情况（35%）</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3.1.1</w:t>
              </w:r>
            </w:smartTag>
            <w:r>
              <w:rPr>
                <w:rFonts w:ascii="仿宋_GB2312" w:eastAsia="仿宋_GB2312" w:hint="eastAsia"/>
                <w:color w:val="000000"/>
                <w:szCs w:val="21"/>
              </w:rPr>
              <w:t>专业生师比（25%）</w:t>
            </w:r>
          </w:p>
        </w:tc>
        <w:tc>
          <w:tcPr>
            <w:tcW w:w="215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专业教师指从事专业课（含专业基础课）教学工作的专任教师。</w:t>
            </w:r>
          </w:p>
        </w:tc>
      </w:tr>
      <w:tr w:rsidR="00D50687" w:rsidTr="00D50687">
        <w:trPr>
          <w:cantSplit/>
          <w:trHeight w:val="8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3.1.2</w:t>
              </w:r>
            </w:smartTag>
            <w:r>
              <w:rPr>
                <w:rFonts w:ascii="仿宋_GB2312" w:eastAsia="仿宋_GB2312" w:hint="eastAsia"/>
                <w:color w:val="000000"/>
                <w:szCs w:val="21"/>
              </w:rPr>
              <w:t>博士学位教师比例（10%）</w:t>
            </w:r>
          </w:p>
        </w:tc>
        <w:tc>
          <w:tcPr>
            <w:tcW w:w="2154"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专业教师中具有博士学位教师所占比例。</w:t>
            </w:r>
          </w:p>
        </w:tc>
      </w:tr>
      <w:tr w:rsidR="00D50687" w:rsidTr="00D50687">
        <w:trPr>
          <w:cantSplit/>
          <w:trHeight w:val="9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3.1.3</w:t>
              </w:r>
            </w:smartTag>
            <w:r>
              <w:rPr>
                <w:rFonts w:ascii="仿宋_GB2312" w:eastAsia="仿宋_GB2312" w:hint="eastAsia"/>
                <w:color w:val="000000"/>
                <w:szCs w:val="21"/>
              </w:rPr>
              <w:t>高层次教师情况（15%）</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D50687" w:rsidTr="00D50687">
        <w:trPr>
          <w:cantSplit/>
          <w:trHeight w:val="340"/>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lastRenderedPageBreak/>
              <w:t>3.教学资源（权重：0.30）</w:t>
            </w: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3.1专业师资基本情况（35%）</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3.1.4</w:t>
              </w:r>
            </w:smartTag>
            <w:r>
              <w:rPr>
                <w:rFonts w:ascii="仿宋_GB2312" w:eastAsia="仿宋_GB2312" w:hint="eastAsia"/>
                <w:color w:val="000000"/>
                <w:szCs w:val="21"/>
              </w:rPr>
              <w:t>专业主干课教师学科背景符合度（10%）</w:t>
            </w:r>
          </w:p>
        </w:tc>
        <w:tc>
          <w:tcPr>
            <w:tcW w:w="215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从事本专业主干课教学工作的教师，其学历中毕业于本专业的比例。</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3.1.5</w:t>
              </w:r>
            </w:smartTag>
            <w:r>
              <w:rPr>
                <w:rFonts w:ascii="仿宋_GB2312" w:eastAsia="仿宋_GB2312" w:hint="eastAsia"/>
                <w:color w:val="000000"/>
                <w:szCs w:val="21"/>
              </w:rPr>
              <w:t>近四年本专业高级职称教师为本专业本科生单独授课情况（15%）</w:t>
            </w:r>
          </w:p>
        </w:tc>
        <w:tc>
          <w:tcPr>
            <w:tcW w:w="215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专业课主要是指理论课，而实践教学环节不计算在内，高级职称教师指具有副高级（含副高级）以上职称的专业教师。</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3.1.6</w:t>
              </w:r>
            </w:smartTag>
            <w:r>
              <w:rPr>
                <w:rFonts w:ascii="仿宋_GB2312" w:eastAsia="仿宋_GB2312" w:hint="eastAsia"/>
                <w:color w:val="000000"/>
                <w:szCs w:val="21"/>
              </w:rPr>
              <w:t>具有行业经历专任教师比例（15%）</w:t>
            </w:r>
          </w:p>
        </w:tc>
        <w:tc>
          <w:tcPr>
            <w:tcW w:w="215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具备下列情形之一者视为具有行业经历：</w:t>
            </w:r>
            <w:r>
              <w:rPr>
                <w:rFonts w:ascii="仿宋_GB2312" w:eastAsia="仿宋_GB2312"/>
                <w:color w:val="000000"/>
                <w:szCs w:val="20"/>
              </w:rPr>
              <w:sym w:font="Wingdings" w:char="0081"/>
            </w:r>
            <w:r>
              <w:rPr>
                <w:rFonts w:ascii="仿宋_GB2312" w:eastAsia="仿宋_GB2312" w:hint="eastAsia"/>
                <w:color w:val="000000"/>
                <w:szCs w:val="21"/>
              </w:rPr>
              <w:t>曾在相关行业工作；</w:t>
            </w:r>
            <w:r>
              <w:rPr>
                <w:rFonts w:ascii="仿宋_GB2312" w:eastAsia="仿宋_GB2312"/>
                <w:color w:val="000000"/>
                <w:szCs w:val="20"/>
              </w:rPr>
              <w:sym w:font="Wingdings" w:char="0082"/>
            </w:r>
            <w:r>
              <w:rPr>
                <w:rFonts w:ascii="仿宋_GB2312" w:eastAsia="仿宋_GB2312" w:hint="eastAsia"/>
                <w:color w:val="000000"/>
                <w:szCs w:val="21"/>
              </w:rPr>
              <w:t>曾与相关行业合作开展过科研项目。</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3.1.7</w:t>
              </w:r>
            </w:smartTag>
            <w:r>
              <w:rPr>
                <w:rFonts w:ascii="仿宋_GB2312" w:eastAsia="仿宋_GB2312" w:hint="eastAsia"/>
                <w:color w:val="000000"/>
                <w:szCs w:val="21"/>
              </w:rPr>
              <w:t>中青年教师参加实践教学能力培训比例（10%）</w:t>
            </w:r>
          </w:p>
        </w:tc>
        <w:tc>
          <w:tcPr>
            <w:tcW w:w="215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中青年教师指45周岁以下（含45周岁）教师；参加实践教学能力培训指接受一周以上相关培训。</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3.2专业教师科研情况（25%）</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3.2.1</w:t>
              </w:r>
            </w:smartTag>
            <w:r>
              <w:rPr>
                <w:rFonts w:ascii="仿宋_GB2312" w:eastAsia="仿宋_GB2312" w:hint="eastAsia"/>
                <w:color w:val="000000"/>
                <w:szCs w:val="21"/>
              </w:rPr>
              <w:t>近四年教师发表学术论文情况（20篇代表论文他引次数总和）（40%）</w:t>
            </w:r>
          </w:p>
        </w:tc>
        <w:tc>
          <w:tcPr>
            <w:tcW w:w="215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3.2.2</w:t>
              </w:r>
            </w:smartTag>
            <w:r>
              <w:rPr>
                <w:rFonts w:ascii="仿宋_GB2312" w:eastAsia="仿宋_GB2312" w:hint="eastAsia"/>
                <w:color w:val="000000"/>
                <w:szCs w:val="21"/>
              </w:rPr>
              <w:t>近四年教师获得省部级以上科研奖励情况（30%）</w:t>
            </w:r>
          </w:p>
        </w:tc>
        <w:tc>
          <w:tcPr>
            <w:tcW w:w="215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科研奖励指获得国家自然科学奖、技术发明奖、科技进步奖、教育部高校科研成果奖（科学技术、人文社科）；省政府自然科学奖、技术发明奖、科技进步奖、社科优秀成果奖。</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3.2.3</w:t>
              </w:r>
            </w:smartTag>
            <w:r>
              <w:rPr>
                <w:rFonts w:ascii="仿宋_GB2312" w:eastAsia="仿宋_GB2312" w:hint="eastAsia"/>
                <w:color w:val="000000"/>
                <w:szCs w:val="21"/>
              </w:rPr>
              <w:t>近四年教师主持科研项目情况（30%）</w:t>
            </w:r>
          </w:p>
        </w:tc>
        <w:tc>
          <w:tcPr>
            <w:tcW w:w="215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r>
              <w:rPr>
                <w:rFonts w:ascii="仿宋_GB2312" w:eastAsia="仿宋_GB2312" w:hint="eastAsia"/>
                <w:color w:val="000000"/>
                <w:szCs w:val="21"/>
              </w:rPr>
              <w:t>3.3专业教师教研情况（25%）</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3.3.1</w:t>
              </w:r>
            </w:smartTag>
            <w:r>
              <w:rPr>
                <w:rFonts w:ascii="仿宋_GB2312" w:eastAsia="仿宋_GB2312" w:hint="eastAsia"/>
                <w:color w:val="000000"/>
                <w:szCs w:val="21"/>
              </w:rPr>
              <w:t>近四年教师发表教研论文数量（30%）</w:t>
            </w:r>
          </w:p>
        </w:tc>
        <w:tc>
          <w:tcPr>
            <w:tcW w:w="215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教研论文是指以第一署名单位发表的与本专业教学研究相关的论文，不包括学术研究有关的论文。</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3.3.2</w:t>
              </w:r>
            </w:smartTag>
            <w:r>
              <w:rPr>
                <w:rFonts w:ascii="仿宋_GB2312" w:eastAsia="仿宋_GB2312" w:hint="eastAsia"/>
                <w:color w:val="000000"/>
                <w:szCs w:val="21"/>
              </w:rPr>
              <w:t>近十年教师主持编写本专业教材情况（30%）</w:t>
            </w:r>
          </w:p>
        </w:tc>
        <w:tc>
          <w:tcPr>
            <w:tcW w:w="215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rsidR="00D50687" w:rsidRDefault="00D50687">
            <w:pPr>
              <w:snapToGrid w:val="0"/>
              <w:ind w:firstLineChars="200" w:firstLine="420"/>
              <w:rPr>
                <w:rFonts w:ascii="仿宋_GB2312" w:eastAsia="仿宋_GB2312"/>
                <w:color w:val="000000"/>
                <w:szCs w:val="21"/>
              </w:rPr>
            </w:pPr>
            <w:r>
              <w:rPr>
                <w:rFonts w:ascii="仿宋_GB2312" w:eastAsia="仿宋_GB2312" w:hint="eastAsia"/>
                <w:color w:val="000000"/>
                <w:szCs w:val="21"/>
              </w:rPr>
              <w:t>本专业教师主编的公开出版的本专业教材。</w:t>
            </w:r>
          </w:p>
        </w:tc>
      </w:tr>
      <w:tr w:rsidR="00D50687" w:rsidTr="00D50687">
        <w:trPr>
          <w:cantSplit/>
          <w:trHeight w:val="340"/>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lastRenderedPageBreak/>
              <w:t>3.教学资源（权重：0.30）</w:t>
            </w:r>
          </w:p>
        </w:tc>
        <w:tc>
          <w:tcPr>
            <w:tcW w:w="758"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3.3专业教师教研情况（25%）</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3.3.3</w:t>
              </w:r>
            </w:smartTag>
            <w:r>
              <w:rPr>
                <w:rFonts w:ascii="仿宋_GB2312" w:eastAsia="仿宋_GB2312" w:hint="eastAsia"/>
                <w:color w:val="000000"/>
                <w:szCs w:val="21"/>
              </w:rPr>
              <w:t>近十年教师主持省级以上教研项目情况（40%）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省级以上教研项目包括：国家及省教育行政部门教改立项、国家及省教育科学规划课题、中国高教学会立项课题。</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3.4实验实践教学（12%）</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3.4.1</w:t>
              </w:r>
            </w:smartTag>
            <w:r>
              <w:rPr>
                <w:rFonts w:ascii="仿宋_GB2312" w:eastAsia="仿宋_GB2312" w:hint="eastAsia"/>
                <w:color w:val="000000"/>
                <w:szCs w:val="21"/>
              </w:rPr>
              <w:t>现有教学实验仪器设备（含软件）生均值（25%）</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单价1000元以上的设备。</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3.4.2</w:t>
              </w:r>
            </w:smartTag>
            <w:r>
              <w:rPr>
                <w:rFonts w:ascii="仿宋_GB2312" w:eastAsia="仿宋_GB2312" w:hint="eastAsia"/>
                <w:color w:val="000000"/>
                <w:szCs w:val="21"/>
              </w:rPr>
              <w:t>近四年新增的教学实验仪器设备（含软件）生均值（25%）</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近四年新增的单价1000元以上设备。</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3.4.3</w:t>
              </w:r>
            </w:smartTag>
            <w:r>
              <w:rPr>
                <w:rFonts w:ascii="仿宋_GB2312" w:eastAsia="仿宋_GB2312" w:hint="eastAsia"/>
                <w:color w:val="000000"/>
                <w:szCs w:val="21"/>
              </w:rPr>
              <w:t>近四年校内外实习实践基地数量及各基地实习学生人次数与专业在校生总数的比值（25%）</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校内外实习实践基地指近四年有学生实习且签有协议的实习实践基地。</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3.4.4</w:t>
              </w:r>
            </w:smartTag>
            <w:r>
              <w:rPr>
                <w:rFonts w:ascii="仿宋_GB2312" w:eastAsia="仿宋_GB2312" w:hint="eastAsia"/>
                <w:color w:val="000000"/>
                <w:szCs w:val="21"/>
              </w:rPr>
              <w:t>现有教学实验仪器设备利用情况、校内外实习实践基地建设质量（25%）</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依据教学实验仪器设备在本专业相关课程中的使用情况，校内外实习实践基地建设质量主要依据基地层次和合作水平。</w:t>
            </w:r>
          </w:p>
        </w:tc>
      </w:tr>
      <w:tr w:rsidR="00D50687" w:rsidTr="00D50687">
        <w:trPr>
          <w:cantSplit/>
          <w:trHeight w:val="10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3.5图书资料（3%）</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3.5.1</w:t>
              </w:r>
            </w:smartTag>
            <w:r>
              <w:rPr>
                <w:rFonts w:ascii="仿宋_GB2312" w:eastAsia="仿宋_GB2312" w:hint="eastAsia"/>
                <w:color w:val="000000"/>
                <w:szCs w:val="21"/>
              </w:rPr>
              <w:t>现有生均专业纸质图书资料册数（60%）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本专业的图书资料（含学校与院、系）是指供本专业教学、科研使用的图书资料。</w:t>
            </w:r>
          </w:p>
        </w:tc>
      </w:tr>
      <w:tr w:rsidR="00D50687" w:rsidTr="00D50687">
        <w:trPr>
          <w:cantSplit/>
          <w:trHeight w:val="17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3.5.2</w:t>
              </w:r>
            </w:smartTag>
            <w:r>
              <w:rPr>
                <w:rFonts w:ascii="仿宋_GB2312" w:eastAsia="仿宋_GB2312" w:hint="eastAsia"/>
                <w:color w:val="000000"/>
                <w:szCs w:val="21"/>
              </w:rPr>
              <w:t>现有专业电子图书资料源的个数（40%）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本专业的电子图书资料源（含学校与院、系）是指供本专业教学科研使用的、由资源提供方完成更新的、可全文下载的电子资源，不包括随书的资料光盘。</w:t>
            </w:r>
          </w:p>
        </w:tc>
      </w:tr>
      <w:tr w:rsidR="00D50687" w:rsidTr="00D50687">
        <w:trPr>
          <w:cantSplit/>
          <w:trHeight w:val="340"/>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4.本科教学工程与教学成果奖（权重：0.15）</w:t>
            </w:r>
          </w:p>
        </w:tc>
        <w:tc>
          <w:tcPr>
            <w:tcW w:w="758"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4.1本科教学工程项目（50%）</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4.1.1</w:t>
              </w:r>
            </w:smartTag>
            <w:r>
              <w:rPr>
                <w:rFonts w:ascii="仿宋_GB2312" w:eastAsia="仿宋_GB2312" w:hint="eastAsia"/>
                <w:color w:val="000000"/>
                <w:szCs w:val="21"/>
              </w:rPr>
              <w:t>历年省级以上本科教学工程项目（100%）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758"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4.2教学成果奖（50%）</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4.2.1</w:t>
              </w:r>
            </w:smartTag>
            <w:r>
              <w:rPr>
                <w:rFonts w:ascii="仿宋_GB2312" w:eastAsia="仿宋_GB2312" w:hint="eastAsia"/>
                <w:color w:val="000000"/>
                <w:szCs w:val="21"/>
              </w:rPr>
              <w:t>历年省级以上教学成果奖（100%）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该专业教师参与完成的省级以上教学成果奖。</w:t>
            </w:r>
          </w:p>
        </w:tc>
      </w:tr>
      <w:tr w:rsidR="00D50687" w:rsidTr="00D50687">
        <w:trPr>
          <w:cantSplit/>
          <w:trHeight w:val="340"/>
          <w:jc w:val="center"/>
        </w:trPr>
        <w:tc>
          <w:tcPr>
            <w:tcW w:w="5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lastRenderedPageBreak/>
              <w:t>5.教学质量保障（权重：0.10）</w:t>
            </w:r>
          </w:p>
        </w:tc>
        <w:tc>
          <w:tcPr>
            <w:tcW w:w="758"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5.1质量保障体系（100%）</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5.1.1</w:t>
              </w:r>
            </w:smartTag>
            <w:r>
              <w:rPr>
                <w:rFonts w:ascii="仿宋_GB2312" w:eastAsia="仿宋_GB2312" w:hint="eastAsia"/>
                <w:color w:val="000000"/>
                <w:szCs w:val="21"/>
              </w:rPr>
              <w:t>教学质量保障机制，教学质量标准、监测、评价、分析、反馈体系及运行效果</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教学质量保障机制，教学质量标准、监测、评价、分析、反馈、改进体系及运行效果。具体评价标准参照教育部高等学校有关科类教学指导委员会制定的专业类教学质量国家标准。</w:t>
            </w:r>
          </w:p>
        </w:tc>
      </w:tr>
      <w:tr w:rsidR="00D50687" w:rsidTr="00D50687">
        <w:trPr>
          <w:cantSplit/>
          <w:trHeight w:val="340"/>
          <w:jc w:val="center"/>
        </w:trPr>
        <w:tc>
          <w:tcPr>
            <w:tcW w:w="594" w:type="pct"/>
            <w:vMerge w:val="restart"/>
            <w:tcBorders>
              <w:top w:val="single" w:sz="4" w:space="0" w:color="auto"/>
              <w:left w:val="single" w:sz="4" w:space="0" w:color="auto"/>
              <w:bottom w:val="single" w:sz="4" w:space="0" w:color="auto"/>
              <w:right w:val="single" w:sz="4" w:space="0" w:color="auto"/>
            </w:tcBorders>
            <w:vAlign w:val="center"/>
          </w:tcPr>
          <w:p w:rsidR="00D50687" w:rsidRDefault="00D50687">
            <w:pPr>
              <w:snapToGrid w:val="0"/>
              <w:spacing w:before="80" w:after="80"/>
              <w:rPr>
                <w:rFonts w:ascii="仿宋_GB2312" w:eastAsia="仿宋_GB2312"/>
                <w:color w:val="000000"/>
                <w:szCs w:val="21"/>
              </w:rPr>
            </w:pPr>
          </w:p>
          <w:p w:rsidR="00D50687" w:rsidRDefault="00D50687" w:rsidP="00B53853">
            <w:pPr>
              <w:numPr>
                <w:ilvl w:val="0"/>
                <w:numId w:val="1"/>
              </w:numPr>
              <w:snapToGrid w:val="0"/>
              <w:spacing w:before="80" w:after="80"/>
              <w:rPr>
                <w:rFonts w:ascii="仿宋_GB2312" w:eastAsia="仿宋_GB2312" w:hint="eastAsia"/>
                <w:color w:val="000000"/>
                <w:szCs w:val="21"/>
              </w:rPr>
            </w:pPr>
            <w:r>
              <w:rPr>
                <w:rFonts w:ascii="仿宋_GB2312" w:eastAsia="仿宋_GB2312" w:hint="eastAsia"/>
                <w:color w:val="000000"/>
                <w:szCs w:val="21"/>
              </w:rPr>
              <w:t>培养效果（权重：0.20）</w:t>
            </w:r>
          </w:p>
          <w:p w:rsidR="00D50687" w:rsidRDefault="00D50687">
            <w:pPr>
              <w:snapToGrid w:val="0"/>
              <w:spacing w:before="80" w:after="80"/>
              <w:rPr>
                <w:rFonts w:ascii="仿宋_GB2312" w:eastAsia="仿宋_GB2312"/>
                <w:color w:val="000000"/>
                <w:szCs w:val="21"/>
              </w:rPr>
            </w:pP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6.1就业情况与培养质量（50%）</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6.1.1</w:t>
              </w:r>
            </w:smartTag>
            <w:r>
              <w:rPr>
                <w:rFonts w:ascii="仿宋_GB2312" w:eastAsia="仿宋_GB2312" w:hint="eastAsia"/>
                <w:color w:val="000000"/>
                <w:szCs w:val="21"/>
              </w:rPr>
              <w:t>近四年就业率情况（50%）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近四年本专业毕业生初次就业率。（不含办学地点不在母体学校的联合培养学生）</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6.1.2</w:t>
              </w:r>
            </w:smartTag>
            <w:r>
              <w:rPr>
                <w:rFonts w:ascii="仿宋_GB2312" w:eastAsia="仿宋_GB2312" w:hint="eastAsia"/>
                <w:color w:val="000000"/>
                <w:szCs w:val="21"/>
              </w:rPr>
              <w:t>十名优秀校友简介（50%）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校友指77级以后的本科生。每人简介500字以内。</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758" w:type="pct"/>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6.2在校学生综合素质（50%）</w:t>
            </w: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6.2.1</w:t>
              </w:r>
            </w:smartTag>
            <w:r>
              <w:rPr>
                <w:rFonts w:ascii="仿宋_GB2312" w:eastAsia="仿宋_GB2312" w:hint="eastAsia"/>
                <w:color w:val="000000"/>
                <w:szCs w:val="21"/>
              </w:rPr>
              <w:t>近四年参加创新创业活动及参与科研项目学生人次数与专业在校生总数的比值（30%）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创新创业活动指：国家、省、校三级“大学生创新创业训练计划”；科研项目指：学生作为课题组成员参加的各类国家、省部和市级纵向项目，以及学校科技管理部门科研考核统计的横向项目。</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6.2.2</w:t>
              </w:r>
            </w:smartTag>
            <w:r>
              <w:rPr>
                <w:rFonts w:ascii="仿宋_GB2312" w:eastAsia="仿宋_GB2312" w:hint="eastAsia"/>
                <w:color w:val="000000"/>
                <w:szCs w:val="21"/>
              </w:rPr>
              <w:t>近四年学生获省级以上各类竞赛奖励情况（30%）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该专业学生为获奖人之一。</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6.2.3</w:t>
              </w:r>
            </w:smartTag>
            <w:r>
              <w:rPr>
                <w:rFonts w:ascii="仿宋_GB2312" w:eastAsia="仿宋_GB2312" w:hint="eastAsia"/>
                <w:color w:val="000000"/>
                <w:szCs w:val="21"/>
              </w:rPr>
              <w:t>近四年学生发表学术论文及专利受理等情况（15%）</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该专业学生在正式刊物发表的学术论文；该专业学生为专利受理限额内成员。</w:t>
            </w:r>
          </w:p>
        </w:tc>
      </w:tr>
      <w:tr w:rsidR="00D50687" w:rsidTr="00D50687">
        <w:trPr>
          <w:cantSplit/>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color w:val="000000"/>
                <w:szCs w:val="21"/>
              </w:rPr>
            </w:pPr>
          </w:p>
        </w:tc>
        <w:tc>
          <w:tcPr>
            <w:tcW w:w="14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int="eastAsia"/>
                  <w:color w:val="000000"/>
                  <w:szCs w:val="21"/>
                </w:rPr>
                <w:t>6.2.4</w:t>
              </w:r>
            </w:smartTag>
            <w:r>
              <w:rPr>
                <w:rFonts w:ascii="仿宋_GB2312" w:eastAsia="仿宋_GB2312" w:hint="eastAsia"/>
                <w:color w:val="000000"/>
                <w:szCs w:val="21"/>
              </w:rPr>
              <w:t>五名优秀在校生简介（25%）</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本专业在校生，每人简介300字以内。</w:t>
            </w:r>
          </w:p>
        </w:tc>
      </w:tr>
      <w:tr w:rsidR="00D50687" w:rsidTr="00D50687">
        <w:trPr>
          <w:cantSplit/>
          <w:trHeight w:val="340"/>
          <w:jc w:val="center"/>
        </w:trPr>
        <w:tc>
          <w:tcPr>
            <w:tcW w:w="59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7.专业特色（满分10分）</w:t>
            </w:r>
          </w:p>
        </w:tc>
        <w:tc>
          <w:tcPr>
            <w:tcW w:w="2252" w:type="pct"/>
            <w:gridSpan w:val="2"/>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rPr>
                <w:rFonts w:ascii="仿宋_GB2312" w:eastAsia="仿宋_GB2312"/>
                <w:color w:val="000000"/>
                <w:szCs w:val="21"/>
              </w:rPr>
            </w:pPr>
            <w:r>
              <w:rPr>
                <w:rFonts w:ascii="仿宋_GB2312" w:eastAsia="仿宋_GB2312" w:hint="eastAsia"/>
                <w:color w:val="000000"/>
                <w:szCs w:val="21"/>
              </w:rPr>
              <w:t>7.1专业特色、实施过程和效果（100%）</w:t>
            </w:r>
          </w:p>
        </w:tc>
        <w:tc>
          <w:tcPr>
            <w:tcW w:w="2154" w:type="pct"/>
            <w:tcBorders>
              <w:top w:val="single" w:sz="4" w:space="0" w:color="auto"/>
              <w:left w:val="single" w:sz="4" w:space="0" w:color="auto"/>
              <w:bottom w:val="single" w:sz="4" w:space="0" w:color="auto"/>
              <w:right w:val="single" w:sz="4" w:space="0" w:color="auto"/>
            </w:tcBorders>
            <w:vAlign w:val="center"/>
            <w:hideMark/>
          </w:tcPr>
          <w:p w:rsidR="00D50687" w:rsidRDefault="00D50687">
            <w:pPr>
              <w:snapToGrid w:val="0"/>
              <w:spacing w:before="80" w:after="80"/>
              <w:ind w:firstLineChars="200" w:firstLine="420"/>
              <w:rPr>
                <w:rFonts w:ascii="仿宋_GB2312" w:eastAsia="仿宋_GB2312"/>
                <w:color w:val="000000"/>
                <w:szCs w:val="21"/>
              </w:rPr>
            </w:pPr>
            <w:r>
              <w:rPr>
                <w:rFonts w:ascii="仿宋_GB2312" w:eastAsia="仿宋_GB2312" w:hint="eastAsia"/>
                <w:color w:val="000000"/>
                <w:szCs w:val="21"/>
              </w:rPr>
              <w:t>在实践中培育和凝练出的专业特色及其效果说明（1000字以内）。</w:t>
            </w:r>
          </w:p>
        </w:tc>
      </w:tr>
      <w:tr w:rsidR="00D50687" w:rsidTr="00D50687">
        <w:trPr>
          <w:cantSplit/>
          <w:trHeight w:val="340"/>
          <w:jc w:val="center"/>
        </w:trPr>
        <w:tc>
          <w:tcPr>
            <w:tcW w:w="594" w:type="pct"/>
            <w:tcBorders>
              <w:top w:val="single" w:sz="4" w:space="0" w:color="auto"/>
              <w:left w:val="single" w:sz="4" w:space="0" w:color="auto"/>
              <w:bottom w:val="thickThinSmallGap" w:sz="18" w:space="0" w:color="auto"/>
              <w:right w:val="single" w:sz="4" w:space="0" w:color="auto"/>
            </w:tcBorders>
            <w:vAlign w:val="center"/>
            <w:hideMark/>
          </w:tcPr>
          <w:p w:rsidR="00D50687" w:rsidRDefault="00D50687">
            <w:pPr>
              <w:snapToGrid w:val="0"/>
              <w:spacing w:before="80" w:after="80"/>
              <w:rPr>
                <w:rFonts w:ascii="仿宋" w:eastAsia="仿宋" w:hAnsi="仿宋"/>
                <w:szCs w:val="21"/>
              </w:rPr>
            </w:pPr>
            <w:r>
              <w:rPr>
                <w:rFonts w:ascii="仿宋_GB2312" w:eastAsia="仿宋_GB2312" w:hint="eastAsia"/>
                <w:color w:val="000000"/>
                <w:szCs w:val="21"/>
              </w:rPr>
              <w:t>8.思想政治工作（满分5分）</w:t>
            </w:r>
          </w:p>
        </w:tc>
        <w:tc>
          <w:tcPr>
            <w:tcW w:w="2252" w:type="pct"/>
            <w:gridSpan w:val="2"/>
            <w:tcBorders>
              <w:top w:val="single" w:sz="4" w:space="0" w:color="auto"/>
              <w:left w:val="single" w:sz="4" w:space="0" w:color="auto"/>
              <w:bottom w:val="thickThinSmallGap" w:sz="18" w:space="0" w:color="auto"/>
              <w:right w:val="single" w:sz="4" w:space="0" w:color="auto"/>
            </w:tcBorders>
            <w:vAlign w:val="center"/>
            <w:hideMark/>
          </w:tcPr>
          <w:p w:rsidR="00D50687" w:rsidRDefault="00D50687">
            <w:pPr>
              <w:snapToGrid w:val="0"/>
              <w:spacing w:before="80" w:after="80"/>
              <w:rPr>
                <w:rFonts w:ascii="仿宋" w:eastAsia="仿宋" w:hAnsi="仿宋"/>
                <w:szCs w:val="21"/>
              </w:rPr>
            </w:pPr>
            <w:r>
              <w:rPr>
                <w:rFonts w:ascii="仿宋_GB2312" w:eastAsia="仿宋_GB2312" w:hint="eastAsia"/>
                <w:color w:val="000000"/>
                <w:szCs w:val="21"/>
              </w:rPr>
              <w:t>8.1思想政治工作贯穿人才培养的实施情况和效果（100%）</w:t>
            </w:r>
          </w:p>
        </w:tc>
        <w:tc>
          <w:tcPr>
            <w:tcW w:w="2154" w:type="pct"/>
            <w:tcBorders>
              <w:top w:val="single" w:sz="4" w:space="0" w:color="auto"/>
              <w:left w:val="single" w:sz="4" w:space="0" w:color="auto"/>
              <w:bottom w:val="thickThinSmallGap" w:sz="18" w:space="0" w:color="auto"/>
              <w:right w:val="single" w:sz="4" w:space="0" w:color="auto"/>
            </w:tcBorders>
            <w:vAlign w:val="center"/>
            <w:hideMark/>
          </w:tcPr>
          <w:p w:rsidR="00D50687" w:rsidRDefault="00D50687">
            <w:pPr>
              <w:snapToGrid w:val="0"/>
              <w:spacing w:before="80" w:after="80"/>
              <w:rPr>
                <w:rFonts w:ascii="仿宋" w:eastAsia="仿宋" w:hAnsi="仿宋"/>
                <w:szCs w:val="21"/>
              </w:rPr>
            </w:pPr>
            <w:r>
              <w:rPr>
                <w:rFonts w:ascii="仿宋_GB2312" w:eastAsia="仿宋_GB2312" w:hint="eastAsia"/>
                <w:color w:val="000000"/>
                <w:szCs w:val="21"/>
              </w:rPr>
              <w:t>充分挖掘各专业课程蕴含的</w:t>
            </w:r>
            <w:r>
              <w:rPr>
                <w:rFonts w:ascii="仿宋_GB2312" w:eastAsia="仿宋_GB2312"/>
                <w:color w:val="000000"/>
                <w:szCs w:val="21"/>
              </w:rPr>
              <w:t>“</w:t>
            </w:r>
            <w:r>
              <w:rPr>
                <w:rFonts w:ascii="仿宋_GB2312" w:eastAsia="仿宋_GB2312" w:hint="eastAsia"/>
                <w:color w:val="000000"/>
                <w:szCs w:val="21"/>
              </w:rPr>
              <w:t>德育元素</w:t>
            </w:r>
            <w:r>
              <w:rPr>
                <w:rFonts w:ascii="仿宋_GB2312" w:eastAsia="仿宋_GB2312"/>
                <w:color w:val="000000"/>
                <w:szCs w:val="21"/>
              </w:rPr>
              <w:t>”</w:t>
            </w:r>
            <w:r>
              <w:rPr>
                <w:rFonts w:ascii="仿宋_GB2312" w:eastAsia="仿宋_GB2312" w:hint="eastAsia"/>
                <w:color w:val="000000"/>
                <w:szCs w:val="21"/>
              </w:rPr>
              <w:t>和所承载的德育功能，将思想政治工作贯穿人才培养全过程的具体措施和效果；师德师风和学风建设情况，学生和教师获得省级以上相关荣誉和奖励情况（1000字以内）。</w:t>
            </w:r>
          </w:p>
        </w:tc>
      </w:tr>
    </w:tbl>
    <w:p w:rsidR="00D50687" w:rsidRDefault="00D50687" w:rsidP="00D50687">
      <w:pPr>
        <w:rPr>
          <w:rFonts w:hint="eastAsia"/>
        </w:rPr>
      </w:pPr>
    </w:p>
    <w:p w:rsidR="00D50687" w:rsidRDefault="00D50687" w:rsidP="00D50687">
      <w:pPr>
        <w:widowControl/>
        <w:jc w:val="left"/>
        <w:sectPr w:rsidR="00D50687">
          <w:pgSz w:w="11906" w:h="16838"/>
          <w:pgMar w:top="2098" w:right="1588" w:bottom="1871" w:left="1588" w:header="851" w:footer="1191" w:gutter="0"/>
          <w:cols w:space="720"/>
          <w:docGrid w:type="lines" w:linePitch="312"/>
        </w:sectPr>
      </w:pPr>
    </w:p>
    <w:p w:rsidR="00D50687" w:rsidRDefault="00D50687" w:rsidP="00D50687">
      <w:pPr>
        <w:spacing w:line="580" w:lineRule="exact"/>
        <w:rPr>
          <w:rFonts w:ascii="黑体" w:eastAsia="黑体" w:hAnsi="黑体"/>
          <w:bCs/>
          <w:sz w:val="32"/>
          <w:szCs w:val="32"/>
        </w:rPr>
      </w:pPr>
      <w:r>
        <w:rPr>
          <w:rFonts w:ascii="黑体" w:eastAsia="黑体" w:hAnsi="黑体" w:hint="eastAsia"/>
          <w:bCs/>
          <w:sz w:val="32"/>
          <w:szCs w:val="32"/>
        </w:rPr>
        <w:lastRenderedPageBreak/>
        <w:t>附件2</w:t>
      </w:r>
    </w:p>
    <w:p w:rsidR="00D50687" w:rsidRDefault="00D50687" w:rsidP="00D50687">
      <w:pPr>
        <w:spacing w:line="500" w:lineRule="exact"/>
        <w:jc w:val="center"/>
        <w:rPr>
          <w:rFonts w:ascii="黑体" w:eastAsia="黑体" w:hAnsi="黑体" w:hint="eastAsia"/>
        </w:rPr>
      </w:pPr>
    </w:p>
    <w:p w:rsidR="00D50687" w:rsidRDefault="00D50687" w:rsidP="00D50687">
      <w:pPr>
        <w:spacing w:line="500" w:lineRule="exact"/>
        <w:jc w:val="center"/>
        <w:rPr>
          <w:rFonts w:ascii="方正小标宋简体" w:eastAsia="方正小标宋简体" w:hAnsi="黑体" w:hint="eastAsia"/>
          <w:bCs/>
          <w:sz w:val="36"/>
          <w:szCs w:val="36"/>
        </w:rPr>
      </w:pPr>
      <w:r>
        <w:rPr>
          <w:rFonts w:ascii="方正小标宋简体" w:eastAsia="方正小标宋简体" w:hAnsi="黑体" w:hint="eastAsia"/>
          <w:bCs/>
          <w:sz w:val="36"/>
          <w:szCs w:val="36"/>
        </w:rPr>
        <w:t>2018年江西省普通高等学校本科专业综合评价</w:t>
      </w:r>
    </w:p>
    <w:p w:rsidR="00D50687" w:rsidRDefault="00D50687" w:rsidP="00D50687">
      <w:pPr>
        <w:spacing w:line="500" w:lineRule="exact"/>
        <w:jc w:val="center"/>
        <w:rPr>
          <w:rFonts w:ascii="方正小标宋简体" w:eastAsia="方正小标宋简体" w:hAnsi="黑体" w:hint="eastAsia"/>
          <w:bCs/>
          <w:sz w:val="36"/>
          <w:szCs w:val="36"/>
        </w:rPr>
      </w:pPr>
      <w:r>
        <w:rPr>
          <w:rFonts w:ascii="方正小标宋简体" w:eastAsia="方正小标宋简体" w:hAnsi="黑体" w:hint="eastAsia"/>
          <w:bCs/>
          <w:sz w:val="36"/>
          <w:szCs w:val="36"/>
        </w:rPr>
        <w:t>参评专业及教指委设立情况表</w:t>
      </w:r>
    </w:p>
    <w:p w:rsidR="00D50687" w:rsidRDefault="00D50687" w:rsidP="00D50687">
      <w:pPr>
        <w:spacing w:line="500" w:lineRule="exact"/>
        <w:jc w:val="center"/>
        <w:rPr>
          <w:rFonts w:hint="eastAsia"/>
          <w:b/>
          <w:bCs/>
          <w:sz w:val="36"/>
          <w:szCs w:val="36"/>
        </w:rPr>
      </w:pPr>
    </w:p>
    <w:tbl>
      <w:tblPr>
        <w:tblW w:w="8931" w:type="dxa"/>
        <w:jc w:val="center"/>
        <w:tblInd w:w="-318" w:type="dxa"/>
        <w:tblLook w:val="04A0"/>
      </w:tblPr>
      <w:tblGrid>
        <w:gridCol w:w="710"/>
        <w:gridCol w:w="2410"/>
        <w:gridCol w:w="1291"/>
        <w:gridCol w:w="2460"/>
        <w:gridCol w:w="2060"/>
      </w:tblGrid>
      <w:tr w:rsidR="00D50687" w:rsidTr="00D50687">
        <w:trPr>
          <w:trHeight w:val="624"/>
          <w:tblHeade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center"/>
              <w:rPr>
                <w:rFonts w:ascii="黑体" w:eastAsia="黑体" w:hAnsi="黑体" w:cs="宋体"/>
                <w:bCs/>
                <w:kern w:val="0"/>
                <w:sz w:val="24"/>
              </w:rPr>
            </w:pPr>
            <w:r>
              <w:rPr>
                <w:rFonts w:ascii="黑体" w:eastAsia="黑体" w:hAnsi="黑体" w:cs="宋体" w:hint="eastAsia"/>
                <w:bCs/>
                <w:kern w:val="0"/>
                <w:sz w:val="24"/>
              </w:rPr>
              <w:t>序号</w:t>
            </w:r>
          </w:p>
        </w:tc>
        <w:tc>
          <w:tcPr>
            <w:tcW w:w="2410" w:type="dxa"/>
            <w:tcBorders>
              <w:top w:val="single" w:sz="4" w:space="0" w:color="auto"/>
              <w:left w:val="nil"/>
              <w:bottom w:val="single" w:sz="4" w:space="0" w:color="auto"/>
              <w:right w:val="single" w:sz="4" w:space="0" w:color="auto"/>
            </w:tcBorders>
            <w:vAlign w:val="center"/>
            <w:hideMark/>
          </w:tcPr>
          <w:p w:rsidR="00D50687" w:rsidRDefault="00D50687">
            <w:pPr>
              <w:widowControl/>
              <w:jc w:val="center"/>
              <w:rPr>
                <w:rFonts w:ascii="黑体" w:eastAsia="黑体" w:hAnsi="黑体" w:cs="宋体"/>
                <w:bCs/>
                <w:kern w:val="0"/>
                <w:sz w:val="24"/>
              </w:rPr>
            </w:pPr>
            <w:r>
              <w:rPr>
                <w:rFonts w:ascii="黑体" w:eastAsia="黑体" w:hAnsi="黑体" w:cs="宋体" w:hint="eastAsia"/>
                <w:bCs/>
                <w:kern w:val="0"/>
                <w:sz w:val="24"/>
              </w:rPr>
              <w:t>教指委名称</w:t>
            </w:r>
          </w:p>
        </w:tc>
        <w:tc>
          <w:tcPr>
            <w:tcW w:w="1291" w:type="dxa"/>
            <w:tcBorders>
              <w:top w:val="single" w:sz="4" w:space="0" w:color="auto"/>
              <w:left w:val="nil"/>
              <w:bottom w:val="single" w:sz="4" w:space="0" w:color="auto"/>
              <w:right w:val="single" w:sz="4" w:space="0" w:color="auto"/>
            </w:tcBorders>
            <w:noWrap/>
            <w:vAlign w:val="center"/>
            <w:hideMark/>
          </w:tcPr>
          <w:p w:rsidR="00D50687" w:rsidRDefault="00D50687">
            <w:pPr>
              <w:widowControl/>
              <w:jc w:val="center"/>
              <w:rPr>
                <w:rFonts w:ascii="黑体" w:eastAsia="黑体" w:hAnsi="黑体" w:cs="宋体"/>
                <w:bCs/>
                <w:kern w:val="0"/>
                <w:sz w:val="24"/>
              </w:rPr>
            </w:pPr>
            <w:r>
              <w:rPr>
                <w:rFonts w:ascii="黑体" w:eastAsia="黑体" w:hAnsi="黑体" w:cs="宋体" w:hint="eastAsia"/>
                <w:bCs/>
                <w:kern w:val="0"/>
                <w:sz w:val="24"/>
              </w:rPr>
              <w:t>专业代码</w:t>
            </w:r>
          </w:p>
        </w:tc>
        <w:tc>
          <w:tcPr>
            <w:tcW w:w="2460" w:type="dxa"/>
            <w:tcBorders>
              <w:top w:val="single" w:sz="4" w:space="0" w:color="auto"/>
              <w:left w:val="nil"/>
              <w:bottom w:val="single" w:sz="4" w:space="0" w:color="auto"/>
              <w:right w:val="single" w:sz="4" w:space="0" w:color="auto"/>
            </w:tcBorders>
            <w:noWrap/>
            <w:vAlign w:val="center"/>
            <w:hideMark/>
          </w:tcPr>
          <w:p w:rsidR="00D50687" w:rsidRDefault="00D50687">
            <w:pPr>
              <w:widowControl/>
              <w:jc w:val="center"/>
              <w:rPr>
                <w:rFonts w:ascii="黑体" w:eastAsia="黑体" w:hAnsi="黑体" w:cs="宋体"/>
                <w:bCs/>
                <w:kern w:val="0"/>
                <w:sz w:val="24"/>
              </w:rPr>
            </w:pPr>
            <w:r>
              <w:rPr>
                <w:rFonts w:ascii="黑体" w:eastAsia="黑体" w:hAnsi="黑体" w:cs="宋体" w:hint="eastAsia"/>
                <w:bCs/>
                <w:kern w:val="0"/>
                <w:sz w:val="24"/>
              </w:rPr>
              <w:t>专业名称</w:t>
            </w:r>
          </w:p>
        </w:tc>
        <w:tc>
          <w:tcPr>
            <w:tcW w:w="2060" w:type="dxa"/>
            <w:tcBorders>
              <w:top w:val="single" w:sz="4" w:space="0" w:color="auto"/>
              <w:left w:val="nil"/>
              <w:bottom w:val="single" w:sz="4" w:space="0" w:color="auto"/>
              <w:right w:val="single" w:sz="4" w:space="0" w:color="auto"/>
            </w:tcBorders>
            <w:vAlign w:val="center"/>
            <w:hideMark/>
          </w:tcPr>
          <w:p w:rsidR="00D50687" w:rsidRDefault="00D50687">
            <w:pPr>
              <w:widowControl/>
              <w:jc w:val="center"/>
              <w:rPr>
                <w:rFonts w:ascii="黑体" w:eastAsia="黑体" w:hAnsi="黑体" w:cs="宋体"/>
                <w:bCs/>
                <w:color w:val="000000"/>
                <w:kern w:val="0"/>
                <w:sz w:val="24"/>
              </w:rPr>
            </w:pPr>
            <w:r>
              <w:rPr>
                <w:rFonts w:ascii="黑体" w:eastAsia="黑体" w:hAnsi="黑体" w:cs="宋体" w:hint="eastAsia"/>
                <w:bCs/>
                <w:color w:val="000000"/>
                <w:kern w:val="0"/>
                <w:sz w:val="24"/>
              </w:rPr>
              <w:t>有三届毕业生</w:t>
            </w:r>
          </w:p>
          <w:p w:rsidR="00D50687" w:rsidRDefault="00D50687">
            <w:pPr>
              <w:widowControl/>
              <w:jc w:val="center"/>
              <w:rPr>
                <w:rFonts w:ascii="黑体" w:eastAsia="黑体" w:hAnsi="黑体" w:cs="宋体"/>
                <w:bCs/>
                <w:color w:val="000000"/>
                <w:kern w:val="0"/>
                <w:sz w:val="24"/>
              </w:rPr>
            </w:pPr>
            <w:r>
              <w:rPr>
                <w:rFonts w:ascii="黑体" w:eastAsia="黑体" w:hAnsi="黑体" w:cs="宋体" w:hint="eastAsia"/>
                <w:bCs/>
                <w:color w:val="000000"/>
                <w:kern w:val="0"/>
                <w:sz w:val="24"/>
              </w:rPr>
              <w:t>专业布点数</w:t>
            </w:r>
          </w:p>
        </w:tc>
      </w:tr>
      <w:tr w:rsidR="00D50687" w:rsidTr="00D50687">
        <w:trPr>
          <w:trHeight w:val="270"/>
          <w:jc w:val="center"/>
        </w:trPr>
        <w:tc>
          <w:tcPr>
            <w:tcW w:w="7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c>
          <w:tcPr>
            <w:tcW w:w="24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体育教育类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040201</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体育教育</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17</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040203</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社会体育指导与管理</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040205</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运动人体科学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7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c>
          <w:tcPr>
            <w:tcW w:w="24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运动训练类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040202K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运动训练</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040204K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武术与民族传统体育</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7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c>
          <w:tcPr>
            <w:tcW w:w="24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临床医学类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100201K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临床医学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100202TK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麻醉学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100203TK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医学影像学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100301K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口腔医学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100901K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法医学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100401K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预防医学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D50687" w:rsidTr="00D50687">
        <w:trPr>
          <w:trHeight w:val="270"/>
          <w:jc w:val="center"/>
        </w:trPr>
        <w:tc>
          <w:tcPr>
            <w:tcW w:w="7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4</w:t>
            </w:r>
          </w:p>
        </w:tc>
        <w:tc>
          <w:tcPr>
            <w:tcW w:w="24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中医与中西医结合类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100501K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中医学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100502K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针灸推拿学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100601K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中西医临床医学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r>
      <w:tr w:rsidR="00D50687" w:rsidTr="00D50687">
        <w:trPr>
          <w:trHeight w:val="270"/>
          <w:jc w:val="center"/>
        </w:trPr>
        <w:tc>
          <w:tcPr>
            <w:tcW w:w="7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c>
          <w:tcPr>
            <w:tcW w:w="24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药学与中药学类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100701</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药学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100702</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药物制剂</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100801</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中药学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100802</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中药资源与开发</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nil"/>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100805T</w:t>
            </w:r>
          </w:p>
        </w:tc>
        <w:tc>
          <w:tcPr>
            <w:tcW w:w="2460" w:type="dxa"/>
            <w:tcBorders>
              <w:top w:val="nil"/>
              <w:left w:val="nil"/>
              <w:bottom w:val="nil"/>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中药制药</w:t>
            </w:r>
          </w:p>
        </w:tc>
        <w:tc>
          <w:tcPr>
            <w:tcW w:w="2060" w:type="dxa"/>
            <w:tcBorders>
              <w:top w:val="nil"/>
              <w:left w:val="nil"/>
              <w:bottom w:val="nil"/>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医学技术类</w:t>
            </w:r>
          </w:p>
        </w:tc>
        <w:tc>
          <w:tcPr>
            <w:tcW w:w="1291" w:type="dxa"/>
            <w:tcBorders>
              <w:top w:val="single" w:sz="4" w:space="0" w:color="auto"/>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101001</w:t>
            </w:r>
          </w:p>
        </w:tc>
        <w:tc>
          <w:tcPr>
            <w:tcW w:w="2460" w:type="dxa"/>
            <w:tcBorders>
              <w:top w:val="single" w:sz="4" w:space="0" w:color="auto"/>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医学检验技术</w:t>
            </w:r>
          </w:p>
        </w:tc>
        <w:tc>
          <w:tcPr>
            <w:tcW w:w="2060" w:type="dxa"/>
            <w:tcBorders>
              <w:top w:val="single" w:sz="4" w:space="0" w:color="auto"/>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r>
      <w:tr w:rsidR="00D50687" w:rsidTr="00D5068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101003</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医学影像技术</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101005</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康复治疗学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710" w:type="dxa"/>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p>
        </w:tc>
        <w:tc>
          <w:tcPr>
            <w:tcW w:w="2410" w:type="dxa"/>
            <w:tcBorders>
              <w:top w:val="nil"/>
              <w:left w:val="nil"/>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护理学类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101101</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护理学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w:t>
            </w:r>
          </w:p>
        </w:tc>
      </w:tr>
      <w:tr w:rsidR="00D50687" w:rsidTr="00D50687">
        <w:trPr>
          <w:trHeight w:val="270"/>
          <w:jc w:val="center"/>
        </w:trPr>
        <w:tc>
          <w:tcPr>
            <w:tcW w:w="7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8</w:t>
            </w:r>
          </w:p>
        </w:tc>
        <w:tc>
          <w:tcPr>
            <w:tcW w:w="24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音乐学类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130201</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音乐表演</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130202</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音乐学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19</w:t>
            </w:r>
          </w:p>
        </w:tc>
      </w:tr>
      <w:tr w:rsidR="00D50687" w:rsidTr="00D50687">
        <w:trPr>
          <w:trHeight w:val="270"/>
          <w:jc w:val="center"/>
        </w:trPr>
        <w:tc>
          <w:tcPr>
            <w:tcW w:w="7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9</w:t>
            </w:r>
          </w:p>
        </w:tc>
        <w:tc>
          <w:tcPr>
            <w:tcW w:w="24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舞蹈与表演类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130204</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舞蹈表演</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130205</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舞蹈学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9</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130206</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舞蹈编导</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130301</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表演</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p>
        </w:tc>
      </w:tr>
      <w:tr w:rsidR="00D50687" w:rsidTr="00D50687">
        <w:trPr>
          <w:trHeight w:val="27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播音编导与戏剧影视类</w:t>
            </w:r>
          </w:p>
        </w:tc>
        <w:tc>
          <w:tcPr>
            <w:tcW w:w="1291"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130304</w:t>
            </w:r>
          </w:p>
        </w:tc>
        <w:tc>
          <w:tcPr>
            <w:tcW w:w="2460"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戏剧影视文学</w:t>
            </w:r>
          </w:p>
        </w:tc>
        <w:tc>
          <w:tcPr>
            <w:tcW w:w="2060"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1</w:t>
            </w:r>
          </w:p>
        </w:tc>
      </w:tr>
      <w:tr w:rsidR="00D50687" w:rsidTr="00D5068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130305</w:t>
            </w:r>
          </w:p>
        </w:tc>
        <w:tc>
          <w:tcPr>
            <w:tcW w:w="2460"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广播电视编导</w:t>
            </w:r>
          </w:p>
        </w:tc>
        <w:tc>
          <w:tcPr>
            <w:tcW w:w="2060"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p>
        </w:tc>
      </w:tr>
      <w:tr w:rsidR="00D50687" w:rsidTr="00D50687">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130309</w:t>
            </w:r>
          </w:p>
        </w:tc>
        <w:tc>
          <w:tcPr>
            <w:tcW w:w="2460"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播音与主持艺术</w:t>
            </w:r>
          </w:p>
        </w:tc>
        <w:tc>
          <w:tcPr>
            <w:tcW w:w="2060"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7</w:t>
            </w:r>
          </w:p>
        </w:tc>
      </w:tr>
      <w:tr w:rsidR="00D50687" w:rsidTr="00D50687">
        <w:trPr>
          <w:trHeight w:val="27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11</w:t>
            </w:r>
          </w:p>
        </w:tc>
        <w:tc>
          <w:tcPr>
            <w:tcW w:w="2410" w:type="dxa"/>
            <w:tcBorders>
              <w:top w:val="single" w:sz="4" w:space="0" w:color="auto"/>
              <w:left w:val="nil"/>
              <w:bottom w:val="nil"/>
              <w:right w:val="nil"/>
            </w:tcBorders>
            <w:noWrap/>
            <w:vAlign w:val="center"/>
            <w:hideMark/>
          </w:tcPr>
          <w:p w:rsidR="00D50687" w:rsidRDefault="00D506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动画类</w:t>
            </w:r>
          </w:p>
        </w:tc>
        <w:tc>
          <w:tcPr>
            <w:tcW w:w="1291" w:type="dxa"/>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130310</w:t>
            </w:r>
          </w:p>
        </w:tc>
        <w:tc>
          <w:tcPr>
            <w:tcW w:w="2460" w:type="dxa"/>
            <w:tcBorders>
              <w:top w:val="single" w:sz="4" w:space="0" w:color="auto"/>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动画</w:t>
            </w:r>
          </w:p>
        </w:tc>
        <w:tc>
          <w:tcPr>
            <w:tcW w:w="2060" w:type="dxa"/>
            <w:tcBorders>
              <w:top w:val="single" w:sz="4" w:space="0" w:color="auto"/>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12</w:t>
            </w:r>
          </w:p>
        </w:tc>
      </w:tr>
      <w:tr w:rsidR="00D50687" w:rsidTr="00D50687">
        <w:trPr>
          <w:trHeight w:val="270"/>
          <w:jc w:val="center"/>
        </w:trPr>
        <w:tc>
          <w:tcPr>
            <w:tcW w:w="710" w:type="dxa"/>
            <w:vMerge w:val="restart"/>
            <w:tcBorders>
              <w:top w:val="nil"/>
              <w:left w:val="single" w:sz="4" w:space="0" w:color="auto"/>
              <w:bottom w:val="single" w:sz="4" w:space="0" w:color="000000"/>
              <w:right w:val="single" w:sz="4" w:space="0" w:color="auto"/>
            </w:tcBorders>
            <w:vAlign w:val="center"/>
            <w:hideMark/>
          </w:tcPr>
          <w:p w:rsidR="00D50687" w:rsidRDefault="00D506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lastRenderedPageBreak/>
              <w:t>12</w:t>
            </w:r>
          </w:p>
        </w:tc>
        <w:tc>
          <w:tcPr>
            <w:tcW w:w="2410" w:type="dxa"/>
            <w:vMerge w:val="restart"/>
            <w:tcBorders>
              <w:top w:val="single" w:sz="4" w:space="0" w:color="auto"/>
              <w:left w:val="single" w:sz="4" w:space="0" w:color="auto"/>
              <w:bottom w:val="single" w:sz="4" w:space="0" w:color="000000"/>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美术学大类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130401</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美术学</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10</w:t>
            </w:r>
          </w:p>
        </w:tc>
      </w:tr>
      <w:tr w:rsidR="00D50687" w:rsidTr="00D50687">
        <w:trPr>
          <w:trHeight w:val="270"/>
          <w:jc w:val="center"/>
        </w:trPr>
        <w:tc>
          <w:tcPr>
            <w:tcW w:w="0" w:type="auto"/>
            <w:vMerge/>
            <w:tcBorders>
              <w:top w:val="nil"/>
              <w:left w:val="single" w:sz="4" w:space="0" w:color="auto"/>
              <w:bottom w:val="single" w:sz="4" w:space="0" w:color="000000"/>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130402</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绘画</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D50687" w:rsidTr="00D50687">
        <w:trPr>
          <w:trHeight w:val="270"/>
          <w:jc w:val="center"/>
        </w:trPr>
        <w:tc>
          <w:tcPr>
            <w:tcW w:w="0" w:type="auto"/>
            <w:vMerge/>
            <w:tcBorders>
              <w:top w:val="nil"/>
              <w:left w:val="single" w:sz="4" w:space="0" w:color="auto"/>
              <w:bottom w:val="single" w:sz="4" w:space="0" w:color="000000"/>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130403</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雕塑</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w:t>
            </w:r>
          </w:p>
        </w:tc>
      </w:tr>
      <w:tr w:rsidR="00D50687" w:rsidTr="00D50687">
        <w:trPr>
          <w:trHeight w:val="270"/>
          <w:jc w:val="center"/>
        </w:trPr>
        <w:tc>
          <w:tcPr>
            <w:tcW w:w="0" w:type="auto"/>
            <w:vMerge/>
            <w:tcBorders>
              <w:top w:val="nil"/>
              <w:left w:val="single" w:sz="4" w:space="0" w:color="auto"/>
              <w:bottom w:val="single" w:sz="4" w:space="0" w:color="000000"/>
              <w:right w:val="single" w:sz="4" w:space="0" w:color="auto"/>
            </w:tcBorders>
            <w:vAlign w:val="center"/>
            <w:hideMark/>
          </w:tcPr>
          <w:p w:rsidR="00D50687" w:rsidRDefault="00D50687">
            <w:pPr>
              <w:widowControl/>
              <w:jc w:val="left"/>
              <w:rPr>
                <w:rFonts w:ascii="仿宋_GB2312" w:eastAsia="仿宋_GB2312" w:hAnsi="宋体" w:cs="宋体"/>
                <w:color w:val="000000"/>
                <w:kern w:val="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130404</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摄影</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7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w:t>
            </w:r>
          </w:p>
        </w:tc>
        <w:tc>
          <w:tcPr>
            <w:tcW w:w="24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设计学Ⅰ类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130503</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环境设计</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27</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130504</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产品设计</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16</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080205</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工业设计</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3</w:t>
            </w:r>
          </w:p>
        </w:tc>
      </w:tr>
      <w:tr w:rsidR="00D50687" w:rsidTr="00D50687">
        <w:trPr>
          <w:trHeight w:val="270"/>
          <w:jc w:val="center"/>
        </w:trPr>
        <w:tc>
          <w:tcPr>
            <w:tcW w:w="7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14</w:t>
            </w:r>
          </w:p>
        </w:tc>
        <w:tc>
          <w:tcPr>
            <w:tcW w:w="2410" w:type="dxa"/>
            <w:vMerge w:val="restart"/>
            <w:tcBorders>
              <w:top w:val="nil"/>
              <w:left w:val="single" w:sz="4" w:space="0" w:color="auto"/>
              <w:bottom w:val="single" w:sz="4" w:space="0" w:color="auto"/>
              <w:right w:val="single" w:sz="4" w:space="0" w:color="auto"/>
            </w:tcBorders>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设计学Ⅱ类</w:t>
            </w: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130502</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视觉传达设计</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24</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130505</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服装与服饰设计</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6</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130508</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数字媒体艺术</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130510TK</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陶瓷艺术设计</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1</w:t>
            </w:r>
          </w:p>
        </w:tc>
      </w:tr>
      <w:tr w:rsidR="00D50687" w:rsidTr="00D50687">
        <w:trPr>
          <w:trHeight w:val="270"/>
          <w:jc w:val="center"/>
        </w:trPr>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D50687" w:rsidRDefault="00D50687">
            <w:pPr>
              <w:widowControl/>
              <w:jc w:val="left"/>
              <w:rPr>
                <w:rFonts w:ascii="仿宋_GB2312" w:eastAsia="仿宋_GB2312" w:hAnsi="宋体" w:cs="宋体"/>
                <w:kern w:val="0"/>
                <w:sz w:val="22"/>
                <w:szCs w:val="22"/>
              </w:rPr>
            </w:pPr>
          </w:p>
        </w:tc>
        <w:tc>
          <w:tcPr>
            <w:tcW w:w="1291"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081602</w:t>
            </w:r>
          </w:p>
        </w:tc>
        <w:tc>
          <w:tcPr>
            <w:tcW w:w="24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服装设计与工程</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5</w:t>
            </w:r>
          </w:p>
        </w:tc>
      </w:tr>
      <w:tr w:rsidR="00D50687" w:rsidTr="00D50687">
        <w:trPr>
          <w:trHeight w:val="581"/>
          <w:jc w:val="center"/>
        </w:trPr>
        <w:tc>
          <w:tcPr>
            <w:tcW w:w="6871" w:type="dxa"/>
            <w:gridSpan w:val="4"/>
            <w:tcBorders>
              <w:top w:val="single" w:sz="4" w:space="0" w:color="auto"/>
              <w:left w:val="single" w:sz="4" w:space="0" w:color="auto"/>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共计</w:t>
            </w:r>
          </w:p>
        </w:tc>
        <w:tc>
          <w:tcPr>
            <w:tcW w:w="2060" w:type="dxa"/>
            <w:tcBorders>
              <w:top w:val="nil"/>
              <w:left w:val="nil"/>
              <w:bottom w:val="single" w:sz="4" w:space="0" w:color="auto"/>
              <w:right w:val="single" w:sz="4" w:space="0" w:color="auto"/>
            </w:tcBorders>
            <w:noWrap/>
            <w:vAlign w:val="center"/>
            <w:hideMark/>
          </w:tcPr>
          <w:p w:rsidR="00D50687" w:rsidRDefault="00D50687">
            <w:pPr>
              <w:widowControl/>
              <w:jc w:val="center"/>
              <w:rPr>
                <w:rFonts w:ascii="仿宋_GB2312" w:eastAsia="仿宋_GB2312" w:hAnsi="宋体" w:cs="宋体"/>
                <w:color w:val="000000"/>
                <w:kern w:val="0"/>
                <w:sz w:val="22"/>
                <w:szCs w:val="22"/>
              </w:rPr>
            </w:pPr>
            <w:r>
              <w:rPr>
                <w:rFonts w:ascii="仿宋_GB2312" w:eastAsia="仿宋_GB2312" w:hAnsi="宋体" w:cs="宋体" w:hint="eastAsia"/>
                <w:color w:val="000000"/>
                <w:kern w:val="0"/>
                <w:sz w:val="22"/>
                <w:szCs w:val="22"/>
              </w:rPr>
              <w:t>260</w:t>
            </w:r>
          </w:p>
        </w:tc>
      </w:tr>
    </w:tbl>
    <w:p w:rsidR="00D50687" w:rsidRDefault="00D50687" w:rsidP="00D50687"/>
    <w:p w:rsidR="00D50687" w:rsidRDefault="00D50687" w:rsidP="00D50687">
      <w:pPr>
        <w:rPr>
          <w:rFonts w:ascii="仿宋_GB2312" w:eastAsia="仿宋_GB2312"/>
          <w:sz w:val="32"/>
          <w:szCs w:val="32"/>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420" w:lineRule="exact"/>
        <w:rPr>
          <w:rFonts w:ascii="仿宋" w:eastAsia="仿宋" w:hAnsi="仿宋" w:cs="仿宋" w:hint="eastAsia"/>
          <w:color w:val="000000"/>
          <w:sz w:val="24"/>
        </w:rPr>
      </w:pPr>
    </w:p>
    <w:p w:rsidR="00D50687" w:rsidRDefault="00D50687" w:rsidP="00D50687">
      <w:pPr>
        <w:spacing w:line="240" w:lineRule="exact"/>
        <w:rPr>
          <w:rFonts w:ascii="仿宋" w:eastAsia="仿宋" w:hAnsi="仿宋" w:cs="仿宋" w:hint="eastAsia"/>
          <w:color w:val="000000"/>
          <w:sz w:val="24"/>
        </w:rPr>
      </w:pPr>
    </w:p>
    <w:p w:rsidR="007D7F7A" w:rsidRDefault="007D7F7A"/>
    <w:sectPr w:rsidR="007D7F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F7A" w:rsidRDefault="007D7F7A" w:rsidP="00D50687">
      <w:r>
        <w:separator/>
      </w:r>
    </w:p>
  </w:endnote>
  <w:endnote w:type="continuationSeparator" w:id="1">
    <w:p w:rsidR="007D7F7A" w:rsidRDefault="007D7F7A" w:rsidP="00D50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F7A" w:rsidRDefault="007D7F7A" w:rsidP="00D50687">
      <w:r>
        <w:separator/>
      </w:r>
    </w:p>
  </w:footnote>
  <w:footnote w:type="continuationSeparator" w:id="1">
    <w:p w:rsidR="007D7F7A" w:rsidRDefault="007D7F7A" w:rsidP="00D50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74363"/>
    <w:multiLevelType w:val="singleLevel"/>
    <w:tmpl w:val="54474363"/>
    <w:lvl w:ilvl="0">
      <w:start w:val="6"/>
      <w:numFmt w:val="decimal"/>
      <w:suff w:val="nothing"/>
      <w:lvlText w:val="%1."/>
      <w:lvlJc w:val="left"/>
      <w:pPr>
        <w:ind w:left="0" w:firstLine="0"/>
      </w:pPr>
      <w:rPr>
        <w:rFonts w:cs="Times New Roman"/>
      </w:rPr>
    </w:lvl>
  </w:abstractNum>
  <w:num w:numId="1">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0687"/>
    <w:rsid w:val="007D7F7A"/>
    <w:rsid w:val="00D506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68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50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50687"/>
    <w:rPr>
      <w:sz w:val="18"/>
      <w:szCs w:val="18"/>
    </w:rPr>
  </w:style>
  <w:style w:type="paragraph" w:styleId="a4">
    <w:name w:val="footer"/>
    <w:basedOn w:val="a"/>
    <w:link w:val="Char0"/>
    <w:uiPriority w:val="99"/>
    <w:semiHidden/>
    <w:unhideWhenUsed/>
    <w:rsid w:val="00D5068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0687"/>
    <w:rPr>
      <w:sz w:val="18"/>
      <w:szCs w:val="18"/>
    </w:rPr>
  </w:style>
  <w:style w:type="paragraph" w:customStyle="1" w:styleId="D">
    <w:name w:val="D正文"/>
    <w:basedOn w:val="a"/>
    <w:uiPriority w:val="99"/>
    <w:rsid w:val="00D50687"/>
    <w:pPr>
      <w:spacing w:line="360" w:lineRule="auto"/>
      <w:ind w:firstLineChars="200" w:firstLine="480"/>
    </w:pPr>
    <w:rPr>
      <w:rFonts w:ascii="Times New Roman" w:eastAsia="仿宋_GB2312" w:hAnsi="Times New Roman"/>
      <w:sz w:val="30"/>
    </w:rPr>
  </w:style>
</w:styles>
</file>

<file path=word/webSettings.xml><?xml version="1.0" encoding="utf-8"?>
<w:webSettings xmlns:r="http://schemas.openxmlformats.org/officeDocument/2006/relationships" xmlns:w="http://schemas.openxmlformats.org/wordprocessingml/2006/main">
  <w:divs>
    <w:div w:id="7896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1089</Words>
  <Characters>6211</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3</cp:revision>
  <dcterms:created xsi:type="dcterms:W3CDTF">2018-02-13T00:55:00Z</dcterms:created>
  <dcterms:modified xsi:type="dcterms:W3CDTF">2018-02-13T00:56:00Z</dcterms:modified>
</cp:coreProperties>
</file>