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rPr>
          <w:rFonts w:hint="eastAsia" w:eastAsia="黑体"/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eastAsia="仿宋_GB2312"/>
          <w:b/>
          <w:bCs/>
          <w:w w:val="95"/>
          <w:sz w:val="18"/>
          <w:szCs w:val="18"/>
        </w:rPr>
      </w:pPr>
      <w:r>
        <w:rPr>
          <w:rFonts w:hAnsi="宋体"/>
          <w:b/>
          <w:bCs/>
          <w:w w:val="95"/>
          <w:sz w:val="36"/>
          <w:szCs w:val="36"/>
        </w:rPr>
        <w:t>江西省普通高等学校学士学位授权专业评审指标体系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066"/>
        <w:gridCol w:w="5569"/>
        <w:gridCol w:w="672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Cs w:val="21"/>
              </w:rPr>
            </w:pPr>
            <w:r>
              <w:rPr>
                <w:rFonts w:hint="default" w:eastAsia="仿宋_GB2312"/>
                <w:b/>
                <w:bCs/>
                <w:szCs w:val="21"/>
              </w:rPr>
              <w:t>一级指标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Cs w:val="21"/>
              </w:rPr>
            </w:pPr>
            <w:r>
              <w:rPr>
                <w:rFonts w:hint="default" w:eastAsia="仿宋_GB2312"/>
                <w:b/>
                <w:bCs/>
                <w:szCs w:val="21"/>
              </w:rPr>
              <w:t>二 级 指 标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Cs w:val="21"/>
              </w:rPr>
            </w:pPr>
            <w:r>
              <w:rPr>
                <w:rFonts w:hint="default" w:eastAsia="仿宋_GB2312"/>
                <w:b/>
                <w:bCs/>
                <w:szCs w:val="21"/>
              </w:rPr>
              <w:t>评   审   内   容   与   标   准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Cs w:val="21"/>
              </w:rPr>
            </w:pPr>
            <w:r>
              <w:rPr>
                <w:rFonts w:hint="default" w:eastAsia="仿宋_GB2312"/>
                <w:b/>
                <w:bCs/>
                <w:szCs w:val="21"/>
              </w:rPr>
              <w:t>二级指标满分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Cs w:val="21"/>
              </w:rPr>
            </w:pPr>
            <w:r>
              <w:rPr>
                <w:rFonts w:hint="default" w:eastAsia="仿宋_GB2312"/>
                <w:b/>
                <w:bCs/>
                <w:szCs w:val="21"/>
              </w:rPr>
              <w:t>一级指标满分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51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（一）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-42" w:leftChars="-20" w:right="-63" w:rightChars="-30"/>
              <w:jc w:val="center"/>
              <w:rPr>
                <w:rFonts w:hint="default" w:eastAsia="仿宋_GB2312"/>
                <w:b/>
                <w:bCs/>
                <w:spacing w:val="-4"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pacing w:val="-4"/>
                <w:sz w:val="18"/>
                <w:szCs w:val="18"/>
              </w:rPr>
              <w:t>专业建设及人才培养方案</w:t>
            </w:r>
          </w:p>
        </w:tc>
        <w:tc>
          <w:tcPr>
            <w:tcW w:w="20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1.1 专业建设</w:t>
            </w:r>
          </w:p>
        </w:tc>
        <w:tc>
          <w:tcPr>
            <w:tcW w:w="55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</w:rPr>
            </w:pPr>
            <w:r>
              <w:rPr>
                <w:rFonts w:hint="default" w:eastAsia="仿宋_GB2312"/>
              </w:rPr>
              <w:t>专业设置满足社会需要，专业建设规划科学、合理，能有效指导专业建设；专业建设措施得力，成效显著。</w:t>
            </w:r>
          </w:p>
        </w:tc>
        <w:tc>
          <w:tcPr>
            <w:tcW w:w="672" w:type="dxa"/>
            <w:tcBorders>
              <w:top w:val="doub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4分</w:t>
            </w:r>
          </w:p>
        </w:tc>
        <w:tc>
          <w:tcPr>
            <w:tcW w:w="6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1.2 人才培养方案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培养方案符合培养目标的要求，体现德、智、体、美等全面发展，有利于人文素质和科学素质提高，有利于创新精神和实践能力的培养；执行情况好。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6分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51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（二）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教师队伍</w:t>
            </w:r>
          </w:p>
        </w:tc>
        <w:tc>
          <w:tcPr>
            <w:tcW w:w="20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</w:rPr>
              <w:t>★</w:t>
            </w:r>
            <w:r>
              <w:rPr>
                <w:rFonts w:hint="default" w:eastAsia="仿宋_GB2312"/>
                <w:sz w:val="18"/>
                <w:szCs w:val="18"/>
              </w:rPr>
              <w:t>2.1 专业负责人</w:t>
            </w:r>
          </w:p>
        </w:tc>
        <w:tc>
          <w:tcPr>
            <w:tcW w:w="55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具有正高职称，学术水平较高。专业负责人无副高或以上职称，评为0分。</w:t>
            </w:r>
          </w:p>
        </w:tc>
        <w:tc>
          <w:tcPr>
            <w:tcW w:w="672" w:type="dxa"/>
            <w:tcBorders>
              <w:top w:val="doub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6分</w:t>
            </w:r>
          </w:p>
        </w:tc>
        <w:tc>
          <w:tcPr>
            <w:tcW w:w="6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</w:rPr>
              <w:t>★</w:t>
            </w:r>
            <w:r>
              <w:rPr>
                <w:rFonts w:hint="default" w:eastAsia="仿宋_GB2312"/>
                <w:sz w:val="18"/>
                <w:szCs w:val="18"/>
              </w:rPr>
              <w:t>2.2 专业教师配置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专任教师总数满足教学要求，专业核心课程教师≥5人，并具备良好的专业知识。专业核心课程教师 &lt;4人，评为0分。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4分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2.3 专业教师结构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专业师资队伍的专业背景、学历、学缘、年龄、职称等结构合理，发展趋势良好。具有研究生或相当学历者的比例≥50％为良好及以上，比例 &lt;30％为不合格，评为0分。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3分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pacing w:val="-4"/>
                <w:sz w:val="18"/>
                <w:szCs w:val="18"/>
              </w:rPr>
            </w:pPr>
            <w:r>
              <w:rPr>
                <w:rFonts w:hint="default" w:eastAsia="仿宋_GB2312"/>
                <w:spacing w:val="-4"/>
                <w:sz w:val="18"/>
                <w:szCs w:val="18"/>
              </w:rPr>
              <w:t>2.4 教师教学与科研能力（含教学研究）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教师具有较高的教学水平和较强的科研能力，承担一定数量的科研任务，对教学形成良好支撑。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3分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2.5 实验教师队伍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实验教师队伍结构合理，满足实验实践教学要求。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4分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51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（三）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教学条件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及 利 用</w:t>
            </w:r>
          </w:p>
        </w:tc>
        <w:tc>
          <w:tcPr>
            <w:tcW w:w="20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3.1 专业实验室</w:t>
            </w:r>
          </w:p>
        </w:tc>
        <w:tc>
          <w:tcPr>
            <w:tcW w:w="55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专业教学实验室配备完善，设备先进，利用率高，在专业人才培养中能发挥较好作用。</w:t>
            </w:r>
          </w:p>
        </w:tc>
        <w:tc>
          <w:tcPr>
            <w:tcW w:w="672" w:type="dxa"/>
            <w:tcBorders>
              <w:top w:val="doub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8分</w:t>
            </w:r>
          </w:p>
        </w:tc>
        <w:tc>
          <w:tcPr>
            <w:tcW w:w="6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</w:rPr>
              <w:t>★</w:t>
            </w:r>
            <w:r>
              <w:rPr>
                <w:rFonts w:hint="default" w:eastAsia="仿宋_GB2312"/>
                <w:sz w:val="18"/>
                <w:szCs w:val="18"/>
              </w:rPr>
              <w:t>3.2 专业图书资料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专业图书资料数量充足，种类较全，满足专业教学的需要。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6分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3.3 实习基地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pacing w:val="-8"/>
                <w:sz w:val="18"/>
                <w:szCs w:val="18"/>
              </w:rPr>
            </w:pPr>
            <w:r>
              <w:rPr>
                <w:rFonts w:hint="default" w:eastAsia="仿宋_GB2312"/>
                <w:spacing w:val="-8"/>
                <w:sz w:val="18"/>
                <w:szCs w:val="18"/>
              </w:rPr>
              <w:t>校内外实习基地完善、稳定，设施满足因材施教的实践教学要求。实习基地数≥5个为良好及以上，实习基地数 &lt;3个为不合格，评为0分。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6分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1151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（四）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教学过程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及 管 理</w:t>
            </w:r>
          </w:p>
        </w:tc>
        <w:tc>
          <w:tcPr>
            <w:tcW w:w="20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</w:rPr>
              <w:t>★</w:t>
            </w:r>
            <w:r>
              <w:rPr>
                <w:rFonts w:hint="default" w:eastAsia="仿宋_GB2312"/>
                <w:sz w:val="18"/>
                <w:szCs w:val="18"/>
              </w:rPr>
              <w:t>4.1 课程建设</w:t>
            </w:r>
          </w:p>
        </w:tc>
        <w:tc>
          <w:tcPr>
            <w:tcW w:w="55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规划科学合理，建设成果显著。</w:t>
            </w:r>
          </w:p>
        </w:tc>
        <w:tc>
          <w:tcPr>
            <w:tcW w:w="672" w:type="dxa"/>
            <w:tcBorders>
              <w:top w:val="doub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6分</w:t>
            </w:r>
          </w:p>
        </w:tc>
        <w:tc>
          <w:tcPr>
            <w:tcW w:w="6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4.2 教材建设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规划科学合理、有保障，使用一定数量省、部级及以上获奖教材。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4分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default" w:eastAsia="仿宋_GB2312"/>
                <w:sz w:val="18"/>
                <w:szCs w:val="18"/>
              </w:rPr>
              <w:t>4.3 教学研究与改革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总体思路清晰、有具体计划、配套措施有力，执行良好，教师教研教改积极性高，改革成效显著。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6分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4.4 质量监控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管理制度健全，执行严格，效果显著；质量标准完善、合理，体现学校的水平和地位，执行严格；教学质量监控体系科学、完善，运行有效，成效显著。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4分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51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（五）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实践教学</w:t>
            </w:r>
          </w:p>
        </w:tc>
        <w:tc>
          <w:tcPr>
            <w:tcW w:w="20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</w:rPr>
              <w:t>★</w:t>
            </w:r>
            <w:r>
              <w:rPr>
                <w:rFonts w:hint="default" w:eastAsia="仿宋_GB2312"/>
                <w:sz w:val="18"/>
                <w:szCs w:val="18"/>
              </w:rPr>
              <w:t>5.1 实验开出率</w:t>
            </w:r>
          </w:p>
        </w:tc>
        <w:tc>
          <w:tcPr>
            <w:tcW w:w="55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实验课程设置科学合理，实验开出率≥95%为良好及以上，实验开出率 &lt;90%为不合格，评为0分。</w:t>
            </w:r>
          </w:p>
        </w:tc>
        <w:tc>
          <w:tcPr>
            <w:tcW w:w="672" w:type="dxa"/>
            <w:tcBorders>
              <w:top w:val="doub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6分</w:t>
            </w:r>
          </w:p>
        </w:tc>
        <w:tc>
          <w:tcPr>
            <w:tcW w:w="6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272" w:right="0" w:hanging="271" w:hangingChars="151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5.2 综合性、设计性实验比例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综合性、设计性实验比例&gt;80%为良好及以上，综合性、设计性实验比例 &lt;60%为不合格，评为0分。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5分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5.3 实习教学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实习教学环节设置科学合理，计划性强，过程管理严格。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4分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151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（六）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毕业设计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（论文）</w:t>
            </w:r>
          </w:p>
        </w:tc>
        <w:tc>
          <w:tcPr>
            <w:tcW w:w="20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6.1 基本规范要求</w:t>
            </w:r>
          </w:p>
        </w:tc>
        <w:tc>
          <w:tcPr>
            <w:tcW w:w="55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管理规范,要求严格</w:t>
            </w:r>
          </w:p>
        </w:tc>
        <w:tc>
          <w:tcPr>
            <w:tcW w:w="672" w:type="dxa"/>
            <w:tcBorders>
              <w:top w:val="doub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2分</w:t>
            </w:r>
          </w:p>
        </w:tc>
        <w:tc>
          <w:tcPr>
            <w:tcW w:w="65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6.2 选题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选题的性质、难度、份量结合实际，科学合理，全面反映培养目标要求，达到综合训练要求。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5分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6.3 指导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主要由讲师及以上职务的教师指导，指导教师数量足，水平较高。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5分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151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6.4 过程管理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过程管理严格、科学；论文或设计质量好。</w:t>
            </w:r>
          </w:p>
        </w:tc>
        <w:tc>
          <w:tcPr>
            <w:tcW w:w="672" w:type="dxa"/>
            <w:tcBorders>
              <w:top w:val="single" w:color="auto" w:sz="4" w:space="0"/>
              <w:left w:val="thickThinSmallGap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仿宋_GB2312"/>
                <w:sz w:val="18"/>
                <w:szCs w:val="18"/>
              </w:rPr>
              <w:t>3分</w:t>
            </w:r>
          </w:p>
        </w:tc>
        <w:tc>
          <w:tcPr>
            <w:tcW w:w="65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108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eastAsia="仿宋_GB2312"/>
                <w:b/>
                <w:bCs/>
                <w:sz w:val="18"/>
                <w:szCs w:val="18"/>
              </w:rPr>
              <w:t>总分为100分（标注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★</w:t>
            </w:r>
            <w:r>
              <w:rPr>
                <w:rFonts w:hint="default" w:eastAsia="仿宋_GB2312"/>
                <w:b/>
                <w:bCs/>
                <w:sz w:val="18"/>
                <w:szCs w:val="18"/>
              </w:rPr>
              <w:t>的指标为核心指标）。总评分</w:t>
            </w:r>
            <w:r>
              <w:rPr>
                <w:rFonts w:hint="default" w:eastAsia="仿宋_GB2312"/>
                <w:sz w:val="18"/>
                <w:szCs w:val="18"/>
              </w:rPr>
              <w:t>≥</w:t>
            </w:r>
            <w:r>
              <w:rPr>
                <w:rFonts w:hint="default" w:eastAsia="仿宋_GB2312"/>
                <w:b/>
                <w:bCs/>
                <w:sz w:val="18"/>
                <w:szCs w:val="18"/>
              </w:rPr>
              <w:t>60分, 且核心指标得分≥22分为通过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0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 w:line="200" w:lineRule="exact"/>
              <w:ind w:left="0" w:right="0"/>
              <w:rPr>
                <w:rFonts w:hint="default" w:eastAsia="黑体"/>
                <w:b/>
                <w:bCs/>
                <w:sz w:val="15"/>
                <w:szCs w:val="15"/>
              </w:rPr>
            </w:pPr>
            <w:r>
              <w:rPr>
                <w:rFonts w:hint="default" w:eastAsia="黑体"/>
                <w:b/>
                <w:bCs/>
                <w:sz w:val="15"/>
                <w:szCs w:val="15"/>
              </w:rPr>
              <w:t>注：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①</w:t>
            </w:r>
            <w:r>
              <w:rPr>
                <w:rFonts w:hint="default" w:eastAsia="黑体"/>
                <w:b/>
                <w:bCs/>
                <w:sz w:val="15"/>
                <w:szCs w:val="15"/>
              </w:rPr>
              <w:t>专业图书资料包括文字、光盘、声像等各种载体的文献资料。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 w:firstLine="301" w:firstLineChars="200"/>
              <w:rPr>
                <w:rFonts w:hint="default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②</w:t>
            </w:r>
            <w:r>
              <w:rPr>
                <w:rFonts w:hint="default" w:eastAsia="黑体"/>
                <w:b/>
                <w:bCs/>
                <w:sz w:val="15"/>
                <w:szCs w:val="15"/>
              </w:rPr>
              <w:t>对核心指标3.2和5.1，文科着重考察核心指标3.2，理工科着重考察核心指标5.1。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 w:firstLine="301" w:firstLineChars="200"/>
              <w:rPr>
                <w:rFonts w:hint="default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③</w:t>
            </w:r>
            <w:r>
              <w:rPr>
                <w:rFonts w:hint="default" w:eastAsia="黑体"/>
                <w:b/>
                <w:bCs/>
                <w:sz w:val="15"/>
                <w:szCs w:val="15"/>
              </w:rPr>
              <w:t>实验开出率＝(实际开出的实验项目数/教学大纲（计划）应开实验项目数)×100％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 w:firstLine="449" w:firstLineChars="298"/>
              <w:rPr>
                <w:rFonts w:hint="default" w:eastAsia="黑体"/>
                <w:b/>
                <w:bCs/>
                <w:sz w:val="15"/>
                <w:szCs w:val="15"/>
              </w:rPr>
            </w:pPr>
            <w:r>
              <w:rPr>
                <w:rFonts w:hint="default" w:eastAsia="黑体"/>
                <w:b/>
                <w:bCs/>
                <w:sz w:val="15"/>
                <w:szCs w:val="15"/>
              </w:rPr>
              <w:t>综合性、设计性实验开出率＝有综合性、设计性实验的课程数/含有实验的课程总数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eastAsia="仿宋_GB2312"/>
                <w:sz w:val="18"/>
                <w:szCs w:val="18"/>
              </w:rPr>
            </w:pPr>
            <w:r>
              <w:rPr>
                <w:rFonts w:hint="default" w:eastAsia="黑体"/>
                <w:b/>
                <w:bCs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④</w:t>
            </w:r>
            <w:r>
              <w:rPr>
                <w:rFonts w:hint="default" w:eastAsia="黑体"/>
                <w:b/>
                <w:bCs/>
                <w:sz w:val="15"/>
                <w:szCs w:val="15"/>
              </w:rPr>
              <w:t>少数特殊专业的毕业设计（论文）环节由现场评审专家具体考察。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right"/>
              <w:rPr>
                <w:rFonts w:hint="default" w:eastAsia="仿宋_GB2312"/>
                <w:b/>
                <w:bCs/>
                <w:szCs w:val="21"/>
              </w:rPr>
            </w:pPr>
            <w:r>
              <w:rPr>
                <w:rFonts w:hint="default" w:eastAsia="仿宋_GB2312"/>
                <w:b/>
                <w:bCs/>
                <w:szCs w:val="21"/>
              </w:rPr>
              <w:t>江西省</w:t>
            </w:r>
            <w:r>
              <w:rPr>
                <w:rFonts w:hint="eastAsia" w:eastAsia="仿宋_GB2312"/>
                <w:b/>
                <w:bCs/>
                <w:szCs w:val="21"/>
              </w:rPr>
              <w:t>人民政府</w:t>
            </w:r>
            <w:r>
              <w:rPr>
                <w:rFonts w:hint="default" w:eastAsia="仿宋_GB2312"/>
                <w:b/>
                <w:bCs/>
                <w:szCs w:val="21"/>
              </w:rPr>
              <w:t>学位委员会办公室</w:t>
            </w:r>
          </w:p>
        </w:tc>
      </w:tr>
    </w:tbl>
    <w:p>
      <w:pPr>
        <w:jc w:val="both"/>
        <w:rPr>
          <w:rFonts w:hint="default" w:ascii="Times New Roman" w:hAnsi="宋体" w:eastAsia="宋体" w:cs="Times New Roman"/>
          <w:b/>
          <w:bCs/>
          <w:sz w:val="36"/>
          <w:szCs w:val="36"/>
          <w:lang w:val="en-US" w:eastAsia="zh-CN"/>
        </w:rPr>
      </w:pPr>
    </w:p>
    <w:sectPr>
      <w:headerReference r:id="rId3" w:type="default"/>
      <w:pgSz w:w="11850" w:h="16783"/>
      <w:pgMar w:top="935" w:right="1803" w:bottom="1247" w:left="1803" w:header="851" w:footer="1587" w:gutter="0"/>
      <w:pgNumType w:fmt="numberInDash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D7"/>
    <w:rsid w:val="002172D7"/>
    <w:rsid w:val="005415A6"/>
    <w:rsid w:val="00734A97"/>
    <w:rsid w:val="00B521B3"/>
    <w:rsid w:val="02F469CE"/>
    <w:rsid w:val="077C0FFA"/>
    <w:rsid w:val="094019BB"/>
    <w:rsid w:val="09562B6F"/>
    <w:rsid w:val="0BC45818"/>
    <w:rsid w:val="0BDA6FAB"/>
    <w:rsid w:val="0D175059"/>
    <w:rsid w:val="0DD03EBC"/>
    <w:rsid w:val="0ECF6155"/>
    <w:rsid w:val="0F090BFE"/>
    <w:rsid w:val="0F1B2A52"/>
    <w:rsid w:val="0F1E6FB3"/>
    <w:rsid w:val="0F407B8C"/>
    <w:rsid w:val="14B451DB"/>
    <w:rsid w:val="14EA5F10"/>
    <w:rsid w:val="16337D3A"/>
    <w:rsid w:val="16FB5DD8"/>
    <w:rsid w:val="176475DB"/>
    <w:rsid w:val="17D7371C"/>
    <w:rsid w:val="18C25BEC"/>
    <w:rsid w:val="19052D6A"/>
    <w:rsid w:val="19555CF7"/>
    <w:rsid w:val="19582801"/>
    <w:rsid w:val="19881C52"/>
    <w:rsid w:val="19A80A13"/>
    <w:rsid w:val="19E976A4"/>
    <w:rsid w:val="1CC20695"/>
    <w:rsid w:val="1E1C19CC"/>
    <w:rsid w:val="21172010"/>
    <w:rsid w:val="24D83B76"/>
    <w:rsid w:val="24EB1F38"/>
    <w:rsid w:val="25707257"/>
    <w:rsid w:val="26AA5ED6"/>
    <w:rsid w:val="28A419FB"/>
    <w:rsid w:val="28F56C32"/>
    <w:rsid w:val="298502E4"/>
    <w:rsid w:val="2C6B736A"/>
    <w:rsid w:val="2D41120C"/>
    <w:rsid w:val="2E0E1F22"/>
    <w:rsid w:val="2FAA6818"/>
    <w:rsid w:val="2FE64DA2"/>
    <w:rsid w:val="32AA39D9"/>
    <w:rsid w:val="350A2DC7"/>
    <w:rsid w:val="35B45E1A"/>
    <w:rsid w:val="3618564B"/>
    <w:rsid w:val="36D91864"/>
    <w:rsid w:val="37A16980"/>
    <w:rsid w:val="37A54AD9"/>
    <w:rsid w:val="37F75FAE"/>
    <w:rsid w:val="388C1634"/>
    <w:rsid w:val="3A302498"/>
    <w:rsid w:val="3A4C05C5"/>
    <w:rsid w:val="3B2616E3"/>
    <w:rsid w:val="3FA26737"/>
    <w:rsid w:val="405B2FA7"/>
    <w:rsid w:val="40693764"/>
    <w:rsid w:val="43961254"/>
    <w:rsid w:val="44D162BD"/>
    <w:rsid w:val="44E9701F"/>
    <w:rsid w:val="47056DEE"/>
    <w:rsid w:val="488F2A2B"/>
    <w:rsid w:val="48BE5133"/>
    <w:rsid w:val="4B842201"/>
    <w:rsid w:val="4C421D6D"/>
    <w:rsid w:val="512D5077"/>
    <w:rsid w:val="52C43A93"/>
    <w:rsid w:val="52FF27FA"/>
    <w:rsid w:val="53E00C2B"/>
    <w:rsid w:val="5406699E"/>
    <w:rsid w:val="57DC3F91"/>
    <w:rsid w:val="58996DE2"/>
    <w:rsid w:val="58EC4E75"/>
    <w:rsid w:val="5931726F"/>
    <w:rsid w:val="5A892CBB"/>
    <w:rsid w:val="5C202C3B"/>
    <w:rsid w:val="5C571D07"/>
    <w:rsid w:val="5D156F6C"/>
    <w:rsid w:val="5E641989"/>
    <w:rsid w:val="5EEF3C5C"/>
    <w:rsid w:val="5FED045B"/>
    <w:rsid w:val="60062B3F"/>
    <w:rsid w:val="609C51AB"/>
    <w:rsid w:val="61DB3F6A"/>
    <w:rsid w:val="620228FF"/>
    <w:rsid w:val="624D17E9"/>
    <w:rsid w:val="627C0705"/>
    <w:rsid w:val="62DC0E8F"/>
    <w:rsid w:val="62E73FA7"/>
    <w:rsid w:val="642D72FF"/>
    <w:rsid w:val="65196664"/>
    <w:rsid w:val="65F67111"/>
    <w:rsid w:val="691D123A"/>
    <w:rsid w:val="6B142428"/>
    <w:rsid w:val="6BBC1615"/>
    <w:rsid w:val="6D621053"/>
    <w:rsid w:val="6DEE533A"/>
    <w:rsid w:val="6E8562FA"/>
    <w:rsid w:val="70571BD4"/>
    <w:rsid w:val="75167D2E"/>
    <w:rsid w:val="75915FF5"/>
    <w:rsid w:val="76360FB9"/>
    <w:rsid w:val="78737C02"/>
    <w:rsid w:val="7A817719"/>
    <w:rsid w:val="7B545464"/>
    <w:rsid w:val="7C577974"/>
    <w:rsid w:val="7D9D42F1"/>
    <w:rsid w:val="7E2445DE"/>
    <w:rsid w:val="7E787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正文"/>
    <w:basedOn w:val="1"/>
    <w:qFormat/>
    <w:uiPriority w:val="99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Sky123.Org</Company>
  <Pages>1</Pages>
  <Words>72</Words>
  <Characters>413</Characters>
  <Lines>3</Lines>
  <Paragraphs>1</Paragraphs>
  <TotalTime>3</TotalTime>
  <ScaleCrop>false</ScaleCrop>
  <LinksUpToDate>false</LinksUpToDate>
  <CharactersWithSpaces>484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2018-09-14T03:28:00Z</dcterms:created>
  <dc:creator>Sky123.Org</dc:creator>
  <cp:lastModifiedBy>Administrator</cp:lastModifiedBy>
  <cp:lastPrinted>2020-05-11T02:12:00Z</cp:lastPrinted>
  <dcterms:modified xsi:type="dcterms:W3CDTF">2020-05-12T08:03:26Z</dcterms:modified>
  <dc:title>关于开展2018年本科人才培养方案专项检查的通知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